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13CC" w:rsidRPr="006416A7" w:rsidRDefault="006416A7" w:rsidP="007B13CC">
      <w:pPr>
        <w:spacing w:after="0" w:line="240" w:lineRule="auto"/>
        <w:jc w:val="both"/>
        <w:rPr>
          <w:rFonts w:ascii="Garamond" w:hAnsi="Garamond"/>
          <w:b/>
          <w:bCs/>
          <w:sz w:val="40"/>
          <w:szCs w:val="40"/>
          <w:lang w:val="id-ID"/>
        </w:rPr>
      </w:pPr>
      <w:r w:rsidRPr="006416A7">
        <w:rPr>
          <w:rFonts w:ascii="Garamond" w:hAnsi="Garamond"/>
          <w:b/>
          <w:bCs/>
          <w:sz w:val="40"/>
          <w:szCs w:val="40"/>
          <w:lang w:val="id-ID"/>
        </w:rPr>
        <w:t>Peran Teks Dan Konteks Dalam Penafsiran Filsafat: Menelusuri Keragaman Mazhab Pemikiran</w:t>
      </w:r>
    </w:p>
    <w:p w:rsidR="007B13CC" w:rsidRPr="006416A7" w:rsidRDefault="00B47BB7" w:rsidP="008A2060">
      <w:pPr>
        <w:spacing w:after="0" w:line="240" w:lineRule="auto"/>
        <w:rPr>
          <w:rFonts w:ascii="Garamond" w:hAnsi="Garamond"/>
          <w:b/>
          <w:bCs/>
          <w:sz w:val="26"/>
          <w:szCs w:val="26"/>
          <w:lang w:val="id-ID"/>
        </w:rPr>
      </w:pPr>
      <w:r>
        <w:rPr>
          <w:rFonts w:ascii="Garamond" w:hAnsi="Garamond"/>
          <w:b/>
          <w:bCs/>
          <w:noProof/>
          <w:sz w:val="26"/>
          <w:szCs w:val="26"/>
          <w:lang w:val="en-US" w:eastAsia="en-US"/>
        </w:rPr>
        <w:pict>
          <v:line id="Konektor Lurus 5" o:spid="_x0000_s2050" style="position:absolute;flip:y;z-index:251658240;visibility:visible;mso-wrap-distance-top:-3e-5mm;mso-wrap-distance-bottom:-3e-5mm;mso-width-relative:margin;mso-height-relative:margin" from="-.3pt,1.5pt" to="453.1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yLRrwEAAK4DAAAOAAAAZHJzL2Uyb0RvYy54bWysU01v2zAMvQ/YfxB0X+RkQ7EZcXposV2K&#10;rVjX3VWZioVKoiBpsfPvR8mJO+wDKIpdBEvke3yPpLeXk7PsADEZ9B1frxrOwCvsjd93/P7bxzfv&#10;OUtZ+l5a9NDxIyR+uXv9ajuGFjY4oO0hMiLxqR1Dx4ecQytEUgM4mVYYwFNQY3Qy0zXuRR/lSOzO&#10;ik3TXIgRYx8iKkiJXq/nIN9Vfq1B5S9aJ8jMdpy05XrGej6UU+y2st1HGQajTjLkC1Q4aTwVXaiu&#10;ZZbsRzR/UDmjIibUeaXQCdTaKKgeyM26+c3N3SADVC/UnBSWNqX/R6s+H678bSzS1eTvwg2qx0RN&#10;EWNI7RIslxTmtElHx7Q14TvNu3omF2yqLT0uLYUpM0WPbz9cbN411Hl1jgnZFopSMcSUPwE6Vj46&#10;bo0vbmUrDzcpFxFPKSdFs4gqJx8tlGTrv4Jmpqdis5y6O3BlIztImnr/uC5TJq6aWSDaWLuAmlry&#10;n6BTboFB3afnApfsWhF9XoDOeIx/q5qns1Q9559dz16L7Qfsj7fxPCBaiurstMBl6369V/jTb7b7&#10;CQAA//8DAFBLAwQUAAYACAAAACEAGfJE3NoAAAAHAQAADwAAAGRycy9kb3ducmV2LnhtbEyOTU7D&#10;MBCF90jcwRokNhV1iGhaQpwKVWIDC6BwACcekgh7HGI3dW/PIBawfD9676u2yVkx4xQGTwqulxkI&#10;pNabgToF728PVxsQIWoy2npCBScMsK3PzypdGn+kV5z3sRM8QqHUCvoYx1LK0PbodFj6EYmzDz85&#10;HVlOnTSTPvK4szLPskI6PRA/9HrEXY/t5/7gFDw+vyxOeSoWX+tVs0vzxqanYJW6vEj3dyAipvhX&#10;hh98RoeamRp/IBOEZV1wUcH65hYEx0W+YqP5NWRdyf/89TcAAAD//wMAUEsBAi0AFAAGAAgAAAAh&#10;ALaDOJL+AAAA4QEAABMAAAAAAAAAAAAAAAAAAAAAAFtDb250ZW50X1R5cGVzXS54bWxQSwECLQAU&#10;AAYACAAAACEAOP0h/9YAAACUAQAACwAAAAAAAAAAAAAAAAAvAQAAX3JlbHMvLnJlbHNQSwECLQAU&#10;AAYACAAAACEAid8i0a8BAACuAwAADgAAAAAAAAAAAAAAAAAuAgAAZHJzL2Uyb0RvYy54bWxQSwEC&#10;LQAUAAYACAAAACEAGfJE3NoAAAAHAQAADwAAAAAAAAAAAAAAAAAJBAAAZHJzL2Rvd25yZXYueG1s&#10;UEsFBgAAAAAEAAQA8wAAABAFAAAAAA==&#10;" strokecolor="black [3040]">
            <o:lock v:ext="edit" shapetype="f"/>
          </v:line>
        </w:pict>
      </w:r>
    </w:p>
    <w:p w:rsidR="0022235A" w:rsidRPr="006416A7" w:rsidRDefault="006416A7" w:rsidP="008A2060">
      <w:pPr>
        <w:spacing w:after="0" w:line="240" w:lineRule="auto"/>
        <w:rPr>
          <w:rFonts w:ascii="Garamond" w:hAnsi="Garamond"/>
          <w:b/>
          <w:bCs/>
          <w:sz w:val="26"/>
          <w:szCs w:val="26"/>
          <w:lang w:val="id-ID"/>
        </w:rPr>
      </w:pPr>
      <w:r w:rsidRPr="006416A7">
        <w:rPr>
          <w:rFonts w:ascii="Garamond" w:hAnsi="Garamond"/>
          <w:b/>
          <w:bCs/>
          <w:sz w:val="26"/>
          <w:szCs w:val="26"/>
          <w:lang w:val="id-ID"/>
        </w:rPr>
        <w:t>Theguh Saumantri</w:t>
      </w:r>
    </w:p>
    <w:p w:rsidR="0022235A" w:rsidRPr="006416A7" w:rsidRDefault="006416A7" w:rsidP="008A2060">
      <w:pPr>
        <w:spacing w:after="0" w:line="240" w:lineRule="auto"/>
        <w:rPr>
          <w:rFonts w:ascii="Garamond" w:hAnsi="Garamond"/>
          <w:sz w:val="22"/>
          <w:szCs w:val="22"/>
          <w:lang w:val="id-ID"/>
        </w:rPr>
      </w:pPr>
      <w:r w:rsidRPr="006416A7">
        <w:rPr>
          <w:rFonts w:ascii="Garamond" w:hAnsi="Garamond"/>
          <w:sz w:val="22"/>
          <w:szCs w:val="22"/>
          <w:lang w:val="id-ID"/>
        </w:rPr>
        <w:t>Universitas Islam Negeri Siber Syekh Nurjati Cirebon</w:t>
      </w:r>
    </w:p>
    <w:p w:rsidR="0022235A" w:rsidRPr="006416A7" w:rsidRDefault="00071F8A" w:rsidP="008A2060">
      <w:pPr>
        <w:spacing w:after="0" w:line="240" w:lineRule="auto"/>
        <w:rPr>
          <w:lang w:val="id-ID"/>
        </w:rPr>
      </w:pPr>
      <w:hyperlink r:id="rId8" w:history="1">
        <w:r w:rsidR="006416A7" w:rsidRPr="006416A7">
          <w:rPr>
            <w:rStyle w:val="Hyperlink"/>
            <w:rFonts w:ascii="Garamond" w:hAnsi="Garamond"/>
            <w:sz w:val="22"/>
            <w:szCs w:val="22"/>
            <w:lang w:val="id-ID"/>
          </w:rPr>
          <w:t>Saumantri.Theguh@Uinssc.Ac.Id</w:t>
        </w:r>
      </w:hyperlink>
    </w:p>
    <w:p w:rsidR="006416A7" w:rsidRPr="006416A7" w:rsidRDefault="006416A7" w:rsidP="008A2060">
      <w:pPr>
        <w:spacing w:after="0" w:line="240" w:lineRule="auto"/>
        <w:rPr>
          <w:lang w:val="id-ID"/>
        </w:rPr>
      </w:pPr>
    </w:p>
    <w:p w:rsidR="0010489C" w:rsidRPr="006416A7" w:rsidRDefault="006416A7" w:rsidP="0010489C">
      <w:pPr>
        <w:spacing w:after="0" w:line="240" w:lineRule="auto"/>
        <w:rPr>
          <w:rFonts w:ascii="Garamond" w:hAnsi="Garamond"/>
          <w:b/>
          <w:bCs/>
          <w:sz w:val="26"/>
          <w:szCs w:val="26"/>
          <w:lang w:val="id-ID"/>
        </w:rPr>
      </w:pPr>
      <w:r w:rsidRPr="006416A7">
        <w:rPr>
          <w:rFonts w:ascii="Garamond" w:hAnsi="Garamond"/>
          <w:b/>
          <w:bCs/>
          <w:sz w:val="26"/>
          <w:szCs w:val="26"/>
          <w:lang w:val="id-ID"/>
        </w:rPr>
        <w:t>Didin Saefuddin</w:t>
      </w:r>
    </w:p>
    <w:p w:rsidR="0010489C" w:rsidRPr="006416A7" w:rsidRDefault="006416A7" w:rsidP="0010489C">
      <w:pPr>
        <w:spacing w:after="0" w:line="240" w:lineRule="auto"/>
        <w:rPr>
          <w:rFonts w:ascii="Garamond" w:hAnsi="Garamond"/>
          <w:sz w:val="22"/>
          <w:szCs w:val="22"/>
          <w:lang w:val="id-ID"/>
        </w:rPr>
      </w:pPr>
      <w:r w:rsidRPr="006416A7">
        <w:rPr>
          <w:rFonts w:ascii="Garamond" w:hAnsi="Garamond"/>
          <w:sz w:val="22"/>
          <w:szCs w:val="22"/>
          <w:lang w:val="id-ID"/>
        </w:rPr>
        <w:t>Universitas Islam Negeri Syarif Hidayatullah Jakarta</w:t>
      </w:r>
    </w:p>
    <w:p w:rsidR="0010489C" w:rsidRPr="006416A7" w:rsidRDefault="00071F8A" w:rsidP="0010489C">
      <w:pPr>
        <w:spacing w:after="0" w:line="240" w:lineRule="auto"/>
        <w:rPr>
          <w:rFonts w:ascii="Garamond" w:hAnsi="Garamond"/>
          <w:sz w:val="26"/>
          <w:szCs w:val="26"/>
          <w:lang w:val="id-ID"/>
        </w:rPr>
      </w:pPr>
      <w:hyperlink r:id="rId9" w:history="1">
        <w:r w:rsidR="006416A7" w:rsidRPr="006416A7">
          <w:rPr>
            <w:rStyle w:val="Hyperlink"/>
            <w:rFonts w:ascii="Garamond" w:hAnsi="Garamond"/>
            <w:sz w:val="22"/>
            <w:szCs w:val="22"/>
            <w:lang w:val="id-ID"/>
          </w:rPr>
          <w:t>Didin.Saepudin@Uinjkt.Ac.Id</w:t>
        </w:r>
      </w:hyperlink>
      <w:r w:rsidR="006416A7" w:rsidRPr="006416A7">
        <w:rPr>
          <w:rFonts w:ascii="Garamond" w:hAnsi="Garamond"/>
          <w:sz w:val="22"/>
          <w:szCs w:val="22"/>
          <w:lang w:val="id-ID"/>
        </w:rPr>
        <w:t xml:space="preserve"> </w:t>
      </w:r>
    </w:p>
    <w:p w:rsidR="008A2060" w:rsidRPr="006416A7" w:rsidRDefault="00B47BB7" w:rsidP="008A2060">
      <w:pPr>
        <w:spacing w:after="0" w:line="240" w:lineRule="auto"/>
        <w:rPr>
          <w:rFonts w:ascii="Garamond" w:hAnsi="Garamond"/>
          <w:lang w:val="id-ID"/>
        </w:rPr>
      </w:pPr>
      <w:r>
        <w:rPr>
          <w:rFonts w:ascii="Garamond" w:hAnsi="Garamond"/>
          <w:b/>
          <w:bCs/>
          <w:noProof/>
          <w:sz w:val="26"/>
          <w:szCs w:val="26"/>
          <w:lang w:val="en-US" w:eastAsia="en-US"/>
        </w:rPr>
        <w:pict>
          <v:line id="_x0000_s2051" style="position:absolute;flip:y;z-index:251659264;visibility:visible;mso-wrap-distance-top:-3e-5mm;mso-wrap-distance-bottom:-3e-5mm;mso-width-relative:margin;mso-height-relative:margin" from="-.3pt,7.65pt" to="453.1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yLRrwEAAK4DAAAOAAAAZHJzL2Uyb0RvYy54bWysU01v2zAMvQ/YfxB0X+RkQ7EZcXposV2K&#10;rVjX3VWZioVKoiBpsfPvR8mJO+wDKIpdBEvke3yPpLeXk7PsADEZ9B1frxrOwCvsjd93/P7bxzfv&#10;OUtZ+l5a9NDxIyR+uXv9ajuGFjY4oO0hMiLxqR1Dx4ecQytEUgM4mVYYwFNQY3Qy0zXuRR/lSOzO&#10;ik3TXIgRYx8iKkiJXq/nIN9Vfq1B5S9aJ8jMdpy05XrGej6UU+y2st1HGQajTjLkC1Q4aTwVXaiu&#10;ZZbsRzR/UDmjIibUeaXQCdTaKKgeyM26+c3N3SADVC/UnBSWNqX/R6s+H678bSzS1eTvwg2qx0RN&#10;EWNI7RIslxTmtElHx7Q14TvNu3omF2yqLT0uLYUpM0WPbz9cbN411Hl1jgnZFopSMcSUPwE6Vj46&#10;bo0vbmUrDzcpFxFPKSdFs4gqJx8tlGTrv4Jmpqdis5y6O3BlIztImnr/uC5TJq6aWSDaWLuAmlry&#10;n6BTboFB3afnApfsWhF9XoDOeIx/q5qns1Q9559dz16L7Qfsj7fxPCBaiurstMBl6369V/jTb7b7&#10;CQAA//8DAFBLAwQUAAYACAAAACEAGfJE3NoAAAAHAQAADwAAAGRycy9kb3ducmV2LnhtbEyOTU7D&#10;MBCF90jcwRokNhV1iGhaQpwKVWIDC6BwACcekgh7HGI3dW/PIBawfD9676u2yVkx4xQGTwqulxkI&#10;pNabgToF728PVxsQIWoy2npCBScMsK3PzypdGn+kV5z3sRM8QqHUCvoYx1LK0PbodFj6EYmzDz85&#10;HVlOnTSTPvK4szLPskI6PRA/9HrEXY/t5/7gFDw+vyxOeSoWX+tVs0vzxqanYJW6vEj3dyAipvhX&#10;hh98RoeamRp/IBOEZV1wUcH65hYEx0W+YqP5NWRdyf/89TcAAAD//wMAUEsBAi0AFAAGAAgAAAAh&#10;ALaDOJL+AAAA4QEAABMAAAAAAAAAAAAAAAAAAAAAAFtDb250ZW50X1R5cGVzXS54bWxQSwECLQAU&#10;AAYACAAAACEAOP0h/9YAAACUAQAACwAAAAAAAAAAAAAAAAAvAQAAX3JlbHMvLnJlbHNQSwECLQAU&#10;AAYACAAAACEAid8i0a8BAACuAwAADgAAAAAAAAAAAAAAAAAuAgAAZHJzL2Uyb0RvYy54bWxQSwEC&#10;LQAUAAYACAAAACEAGfJE3NoAAAAHAQAADwAAAAAAAAAAAAAAAAAJBAAAZHJzL2Rvd25yZXYueG1s&#10;UEsFBgAAAAAEAAQA8wAAABAFAAAAAA==&#10;" strokecolor="black [3040]">
            <o:lock v:ext="edit" shapetype="f"/>
          </v:line>
        </w:pict>
      </w:r>
    </w:p>
    <w:p w:rsidR="0022235A" w:rsidRPr="006416A7" w:rsidRDefault="006416A7" w:rsidP="007B13CC">
      <w:pPr>
        <w:spacing w:before="240" w:after="240" w:line="240" w:lineRule="auto"/>
        <w:jc w:val="center"/>
        <w:rPr>
          <w:rFonts w:ascii="Garamond" w:hAnsi="Garamond"/>
          <w:b/>
          <w:bCs/>
          <w:lang w:val="id-ID"/>
        </w:rPr>
      </w:pPr>
      <w:r w:rsidRPr="006416A7">
        <w:rPr>
          <w:rFonts w:ascii="Garamond" w:hAnsi="Garamond"/>
          <w:b/>
          <w:bCs/>
          <w:lang w:val="id-ID"/>
        </w:rPr>
        <w:t>Abstract</w:t>
      </w:r>
    </w:p>
    <w:p w:rsidR="007B13CC" w:rsidRPr="006416A7" w:rsidRDefault="006416A7" w:rsidP="006416A7">
      <w:pPr>
        <w:spacing w:before="240" w:after="240" w:line="360" w:lineRule="auto"/>
        <w:jc w:val="both"/>
        <w:rPr>
          <w:rFonts w:ascii="Garamond" w:hAnsi="Garamond"/>
          <w:lang w:val="id-ID"/>
        </w:rPr>
      </w:pPr>
      <w:r w:rsidRPr="006416A7">
        <w:rPr>
          <w:rFonts w:ascii="Garamond" w:hAnsi="Garamond"/>
          <w:lang w:val="id-ID"/>
        </w:rPr>
        <w:t>The Interpretation Of Philosophical Texts Is Always Closely Tied To Social, Historical, Cultural, And Biographical Contexts, Which Influence How These Texts Are Understood And Accepted By Readers. This Study Aims To Analyze The Role Of Texts And Context In Philosophical Interpretation, As Well As How Their Interaction Gives Rise To The Diversity Of Existing Schools Of Thought. Using A Descriptive Qualitative Approach, This Research Analyzes Philosophical Texts From Various Intellectual Traditions, Both Western And Eastern, Through An In-Depth Literature Review. The Findings Of The Study Show That Although Philosophical Texts Contain Profound And Universal Meanings, They Can Be Interpreted In Different Ways Depending On The Social, Political, And Cultural Context Of The Reader, Resulting In Various Philosophical Schools Such As Rationalism, Empiricism, Existentialism, And Others. Academically, This Research Contributes To Enriching The Study Of Philosophy, Particularly In Understanding The Dynamics Of Diverse Text Interpretations, As Well As Their Relevance In Religious And Social Studies. The Study Also Emphasizes The Importance Of Understanding Context In Reading Philosophical Texts To Obtain A More Contextual And Inclusive Understanding Of The Development Of Philosophical Thought.</w:t>
      </w:r>
    </w:p>
    <w:p w:rsidR="007B13CC" w:rsidRPr="006416A7" w:rsidRDefault="006416A7" w:rsidP="006416A7">
      <w:pPr>
        <w:spacing w:before="240" w:after="240" w:line="360" w:lineRule="auto"/>
        <w:rPr>
          <w:rFonts w:ascii="Garamond" w:hAnsi="Garamond"/>
          <w:i/>
          <w:iCs/>
          <w:lang w:val="id-ID"/>
        </w:rPr>
      </w:pPr>
      <w:r w:rsidRPr="006416A7">
        <w:rPr>
          <w:rFonts w:ascii="Garamond" w:hAnsi="Garamond"/>
          <w:b/>
          <w:bCs/>
          <w:lang w:val="id-ID"/>
        </w:rPr>
        <w:t xml:space="preserve">Keywords: </w:t>
      </w:r>
      <w:r w:rsidRPr="006416A7">
        <w:rPr>
          <w:rFonts w:ascii="Garamond" w:hAnsi="Garamond"/>
          <w:i/>
          <w:iCs/>
          <w:lang w:val="id-ID"/>
        </w:rPr>
        <w:t>Philosophical Texts, Context, Interpretation, Schools Of Philosophy.</w:t>
      </w:r>
    </w:p>
    <w:p w:rsidR="007B13CC" w:rsidRPr="006416A7" w:rsidRDefault="006416A7" w:rsidP="006416A7">
      <w:pPr>
        <w:spacing w:before="240" w:after="240" w:line="360" w:lineRule="auto"/>
        <w:jc w:val="center"/>
        <w:rPr>
          <w:rFonts w:ascii="Garamond" w:hAnsi="Garamond"/>
          <w:b/>
          <w:bCs/>
          <w:lang w:val="id-ID"/>
        </w:rPr>
      </w:pPr>
      <w:r w:rsidRPr="006416A7">
        <w:rPr>
          <w:rFonts w:ascii="Garamond" w:hAnsi="Garamond"/>
          <w:b/>
          <w:bCs/>
          <w:lang w:val="id-ID"/>
        </w:rPr>
        <w:t>Abstrak</w:t>
      </w:r>
    </w:p>
    <w:p w:rsidR="00FB5435" w:rsidRPr="006416A7" w:rsidRDefault="006416A7" w:rsidP="006416A7">
      <w:pPr>
        <w:spacing w:before="240" w:after="240" w:line="360" w:lineRule="auto"/>
        <w:jc w:val="both"/>
        <w:rPr>
          <w:rFonts w:ascii="Garamond" w:hAnsi="Garamond"/>
          <w:lang w:val="id-ID"/>
        </w:rPr>
      </w:pPr>
      <w:r w:rsidRPr="006416A7">
        <w:rPr>
          <w:rFonts w:ascii="Garamond" w:hAnsi="Garamond"/>
          <w:lang w:val="id-ID"/>
        </w:rPr>
        <w:t xml:space="preserve">Penafsiran Teks Filsafat Selalu Terikat Erat Dengan Konteks Sosial, Sejarah, Budaya, Dan Biografis, Yang Memengaruhi Cara Teks Tersebut Dimaknai Dan Diterima Oleh Pembaca. Penelitian Ini Bertujuan Untuk Menganalisis Peran Teks Dan Konteks Dalam Penafsiran Filsafat, Serta Bagaimana Interaksi Keduanya Melahirkan Keragaman Mazhab Pemikiran Yang Ada. Dengan Menggunakan Pendekatan Kualitatif Deskriptif, Penelitian Ini Menganalisis Teks-Teks </w:t>
      </w:r>
      <w:r w:rsidRPr="006416A7">
        <w:rPr>
          <w:rFonts w:ascii="Garamond" w:hAnsi="Garamond"/>
          <w:lang w:val="id-ID"/>
        </w:rPr>
        <w:lastRenderedPageBreak/>
        <w:t>Filsafat Dari Berbagai Tradisi Pemikiran, Baik Dari Barat Maupun Timur, Melalui Kajian Pustaka Yang Mendalam. Hasil Penelitian Menunjukkan Bahwa Teks Filsafat, Meskipun Mengandung Makna Yang Mendalam Dan Universal, Dapat Ditafsirkan Secara Berbeda-Beda Bergantung Pada Konteks Sosial, Politik, Dan Budaya Pembaca, Yang Menghasilkan Perbedaan Aliran Filsafat Seperti Rasionalisme, Empirisme, Eksistensialisme, Dan Sebagainya.  Secara Akademik, Penelitian Ini Memberikan Kontribusi Dalam Memperkaya Kajian Filsafat, Khususnya Dalam Memahami Dinamika Interpretasi Teks Yang Beragam, Serta Relevansinya Dalam Studi Keagamaan Dan Sosial. Penelitian Ini Juga Menggarisbawahi Pentingnya Memahami Konteks Dalam Pembacaan Teks Filsafat Untuk Memperoleh Pemahaman Yang Lebih Kontekstual Dan Inklusif Terhadap Perkembangan Pemikiran Filosofis.</w:t>
      </w:r>
    </w:p>
    <w:p w:rsidR="0022235A" w:rsidRPr="006416A7" w:rsidRDefault="006416A7" w:rsidP="006416A7">
      <w:pPr>
        <w:spacing w:before="240" w:after="240" w:line="360" w:lineRule="auto"/>
        <w:rPr>
          <w:rFonts w:ascii="Garamond" w:hAnsi="Garamond"/>
          <w:lang w:val="id-ID"/>
        </w:rPr>
      </w:pPr>
      <w:r w:rsidRPr="006416A7">
        <w:rPr>
          <w:rFonts w:ascii="Garamond" w:hAnsi="Garamond"/>
          <w:b/>
          <w:bCs/>
          <w:lang w:val="id-ID"/>
        </w:rPr>
        <w:t xml:space="preserve">Kata Kunci: </w:t>
      </w:r>
      <w:r w:rsidRPr="006416A7">
        <w:rPr>
          <w:rFonts w:ascii="Garamond" w:hAnsi="Garamond"/>
          <w:lang w:val="id-ID"/>
        </w:rPr>
        <w:t>Teks Filsafat, Konteks, Penafsiran, Mazhab Filsafat.</w:t>
      </w:r>
    </w:p>
    <w:p w:rsidR="006416A7" w:rsidRPr="006416A7" w:rsidRDefault="006416A7" w:rsidP="006416A7">
      <w:pPr>
        <w:spacing w:after="0" w:line="360" w:lineRule="auto"/>
        <w:rPr>
          <w:rFonts w:ascii="Garamond" w:hAnsi="Garamond"/>
          <w:b/>
          <w:bCs/>
          <w:lang w:val="id-ID"/>
        </w:rPr>
      </w:pPr>
      <w:r w:rsidRPr="006416A7">
        <w:rPr>
          <w:rFonts w:ascii="Garamond" w:hAnsi="Garamond"/>
          <w:b/>
          <w:bCs/>
          <w:lang w:val="id-ID"/>
        </w:rPr>
        <w:t>Pendahuluan</w:t>
      </w:r>
    </w:p>
    <w:p w:rsidR="00B226E0" w:rsidRPr="006416A7" w:rsidRDefault="006416A7" w:rsidP="006416A7">
      <w:pPr>
        <w:spacing w:after="0" w:line="360" w:lineRule="auto"/>
        <w:ind w:firstLine="720"/>
        <w:jc w:val="both"/>
        <w:rPr>
          <w:rFonts w:ascii="Garamond" w:hAnsi="Garamond"/>
          <w:lang w:val="id-ID"/>
        </w:rPr>
      </w:pPr>
      <w:r w:rsidRPr="006416A7">
        <w:rPr>
          <w:rFonts w:ascii="Garamond" w:hAnsi="Garamond"/>
          <w:lang w:val="id-ID"/>
        </w:rPr>
        <w:t>Filsafat Sebagai Sebuah Disiplin Ilmu Memiliki Peran Yang Sangat Penting Dalam Membentuk Cara Berpikir Manusia, Baik Dalam Konteks Individu Maupun Masyarakat. Setiap Pemikiran Filosofis Yang Dihasilkan Oleh Para Filsuf Besar Sering Kali Dikemas Dalam Bentuk Teks Yang Ditulis Dengan Bahasa Yang Padat Dan Penuh Dengan Makna Yang Mendalam.</w:t>
      </w:r>
      <w:r w:rsidR="00CD75F1" w:rsidRPr="006416A7">
        <w:rPr>
          <w:rStyle w:val="FootnoteReference"/>
          <w:rFonts w:ascii="Garamond" w:hAnsi="Garamond"/>
          <w:lang w:val="id-ID"/>
        </w:rPr>
        <w:footnoteReference w:id="2"/>
      </w:r>
      <w:r w:rsidRPr="006416A7">
        <w:rPr>
          <w:rFonts w:ascii="Garamond" w:hAnsi="Garamond"/>
          <w:lang w:val="id-ID"/>
        </w:rPr>
        <w:t xml:space="preserve"> Namun, Pemahaman Terhadap Teks-Teks Filsafat Ini Tidak Dapat Terlepas Dari Konteks Di Mana Teks Tersebut Ditulis Dan Diterima. Menurut Ariwidodo, Teks Filsafat Tidak Hanya Mencerminkan Ide-Ide Abstrak, Tetapi Juga Merupakan Produk Dari Suatu Waktu, Budaya, Dan Lingkungan Sosial Tertentu.</w:t>
      </w:r>
      <w:r w:rsidR="00CD75F1" w:rsidRPr="006416A7">
        <w:rPr>
          <w:rStyle w:val="FootnoteReference"/>
          <w:rFonts w:ascii="Garamond" w:hAnsi="Garamond"/>
          <w:lang w:val="id-ID"/>
        </w:rPr>
        <w:footnoteReference w:id="3"/>
      </w:r>
    </w:p>
    <w:p w:rsidR="00B226E0" w:rsidRPr="006416A7" w:rsidRDefault="006416A7" w:rsidP="006416A7">
      <w:pPr>
        <w:spacing w:after="0" w:line="360" w:lineRule="auto"/>
        <w:ind w:firstLine="720"/>
        <w:jc w:val="both"/>
        <w:rPr>
          <w:rFonts w:ascii="Garamond" w:hAnsi="Garamond"/>
          <w:lang w:val="id-ID"/>
        </w:rPr>
      </w:pPr>
      <w:r w:rsidRPr="006416A7">
        <w:rPr>
          <w:rFonts w:ascii="Garamond" w:hAnsi="Garamond"/>
          <w:lang w:val="id-ID"/>
        </w:rPr>
        <w:t>Dalam Tradisi Filsafat Timur, Seperti Dalam Pemikiran Islam, Hindu, Dan Buddha, Teks-Teks Filosofis Juga Mengandung Lapisan-Lapisan Makna Yang Berkaitan Erat Dengan Konteks Spiritual Dan Sosial. Sebagai Contoh, Dalam Tradisi Filsafat Islam, Pemikir Seperti Al-Farabi, Ibn Sina, Dan Al-Ghazali Sering Kali Menulis Teks Yang Menggabungkan Unsur Rasionalitas Dengan Spiritualitas, Yang Mengandung Makna Yang Dalam Dan Sangat Dipengaruhi Oleh Konteks Sosial Dan Agama Pada Masa Mereka.</w:t>
      </w:r>
      <w:r w:rsidR="008F6DEC" w:rsidRPr="006416A7">
        <w:rPr>
          <w:rStyle w:val="FootnoteReference"/>
          <w:rFonts w:ascii="Garamond" w:hAnsi="Garamond"/>
          <w:lang w:val="id-ID"/>
        </w:rPr>
        <w:footnoteReference w:id="4"/>
      </w:r>
      <w:r w:rsidRPr="006416A7">
        <w:rPr>
          <w:rFonts w:ascii="Garamond" w:hAnsi="Garamond"/>
          <w:lang w:val="id-ID"/>
        </w:rPr>
        <w:t xml:space="preserve"> Hal Ini Menunjukkan Bahwa, Sama Seperti Di Dunia Barat, Dalam Tradisi Timur Pun Konteks Sangat Menentukan Bagaimana Teks Filsafat Ditafsirkan. Pemikiran Al-Farabi Mengenai “Negara Ideal” Misalnya, Dipengaruhi Oleh Pandangan Agama Dan Sosial Masyarakat Islam Pada Masa Itu, Serta Menggabungkan Filsafat Yunani Dengan Prinsip-Prinsip Islam.</w:t>
      </w:r>
      <w:r w:rsidR="008F6DEC" w:rsidRPr="006416A7">
        <w:rPr>
          <w:rStyle w:val="FootnoteReference"/>
          <w:rFonts w:ascii="Garamond" w:hAnsi="Garamond"/>
          <w:lang w:val="id-ID"/>
        </w:rPr>
        <w:footnoteReference w:id="5"/>
      </w:r>
    </w:p>
    <w:p w:rsidR="00B226E0" w:rsidRPr="006416A7" w:rsidRDefault="006416A7" w:rsidP="006416A7">
      <w:pPr>
        <w:spacing w:after="0" w:line="360" w:lineRule="auto"/>
        <w:ind w:firstLine="720"/>
        <w:jc w:val="both"/>
        <w:rPr>
          <w:rFonts w:ascii="Garamond" w:hAnsi="Garamond"/>
          <w:lang w:val="id-ID"/>
        </w:rPr>
      </w:pPr>
      <w:r w:rsidRPr="006416A7">
        <w:rPr>
          <w:rFonts w:ascii="Garamond" w:hAnsi="Garamond"/>
          <w:lang w:val="id-ID"/>
        </w:rPr>
        <w:t>Masaroh Dkk Menjelaskan Bahwa Teks-Teks Filsafat Sering Kali Membuka Ruang Interpretasi Yang Luas, Dan Makna Yang Terkandung Dalam Teks Tersebut Dapat Berubah Atau Berkembang Seiring Dengan Perubahan Konteks Sosial, Politik, Dan Budaya.</w:t>
      </w:r>
      <w:r w:rsidR="00DE1751" w:rsidRPr="006416A7">
        <w:rPr>
          <w:rStyle w:val="FootnoteReference"/>
          <w:rFonts w:ascii="Garamond" w:hAnsi="Garamond"/>
          <w:lang w:val="id-ID"/>
        </w:rPr>
        <w:footnoteReference w:id="6"/>
      </w:r>
      <w:r w:rsidRPr="006416A7">
        <w:rPr>
          <w:rFonts w:ascii="Garamond" w:hAnsi="Garamond"/>
          <w:lang w:val="id-ID"/>
        </w:rPr>
        <w:t xml:space="preserve"> Oleh Karena Itu, Penting Untuk Memahami Bahwa Penafsiran Terhadap Teks-Teks Filsafat Tidak Hanya Bergantung Pada Apa Yang Tertulis Dalam Teks Itu Sendiri, Tetapi Juga Pada Konteks Sosial, Budaya, Dan Historis Di Mana Teks Tersebut Muncul Dan Bagaimana Teks Itu Dipahami Oleh Pembaca Pada Masa Tertentu.</w:t>
      </w:r>
    </w:p>
    <w:p w:rsidR="00B226E0" w:rsidRPr="006416A7" w:rsidRDefault="006416A7" w:rsidP="006416A7">
      <w:pPr>
        <w:spacing w:after="0" w:line="360" w:lineRule="auto"/>
        <w:ind w:firstLine="720"/>
        <w:jc w:val="both"/>
        <w:rPr>
          <w:rFonts w:ascii="Garamond" w:hAnsi="Garamond"/>
          <w:lang w:val="id-ID"/>
        </w:rPr>
      </w:pPr>
      <w:r w:rsidRPr="006416A7">
        <w:rPr>
          <w:rFonts w:ascii="Garamond" w:hAnsi="Garamond"/>
          <w:lang w:val="id-ID"/>
        </w:rPr>
        <w:t>Seiring Dengan Waktu, Berbagai Mazhab Filsafat Telah Muncul, Masing-Masing Dengan Cara Pandang Dan Metode Penafsiran Yang Berbeda Terhadap Teks-Teks Yang Ada. Misalnya, Mazhab Rasionalisme, Empirisme, Idealisme, Dan Eksistensialisme Berkembang Sebagai Respons Terhadap Teks-Teks Yang Diinterpretasikan Dengan Cara Yang Berbeda, Tergantung Pada Latar Belakang Konteks Budaya Dan Sejarah Pada Waktu Tertentu.</w:t>
      </w:r>
      <w:r w:rsidR="00DE1751" w:rsidRPr="006416A7">
        <w:rPr>
          <w:rStyle w:val="FootnoteReference"/>
          <w:rFonts w:ascii="Garamond" w:hAnsi="Garamond"/>
          <w:lang w:val="id-ID"/>
        </w:rPr>
        <w:footnoteReference w:id="7"/>
      </w:r>
      <w:r w:rsidRPr="006416A7">
        <w:rPr>
          <w:rFonts w:ascii="Garamond" w:hAnsi="Garamond"/>
          <w:lang w:val="id-ID"/>
        </w:rPr>
        <w:t xml:space="preserve"> Perbedaan Penafsiran Ini Menunjukkan Bahwa Pemikiran Filosofis Bukanlah Sesuatu Yang Statis Atau Terisolasi, Tetapi Berkembang Dalam Interaksi Yang Dinamis Antara Teks Dan Konteks.</w:t>
      </w:r>
    </w:p>
    <w:p w:rsidR="00B226E0" w:rsidRPr="006416A7" w:rsidRDefault="006416A7" w:rsidP="006416A7">
      <w:pPr>
        <w:spacing w:after="0" w:line="360" w:lineRule="auto"/>
        <w:ind w:firstLine="720"/>
        <w:jc w:val="both"/>
        <w:rPr>
          <w:rFonts w:ascii="Garamond" w:hAnsi="Garamond"/>
          <w:lang w:val="id-ID"/>
        </w:rPr>
      </w:pPr>
      <w:r w:rsidRPr="006416A7">
        <w:rPr>
          <w:rFonts w:ascii="Garamond" w:hAnsi="Garamond"/>
          <w:lang w:val="id-ID"/>
        </w:rPr>
        <w:t>Penafsiran Terhadap Teks-Teks Filsafat Menghasilkan Beragam Pemahaman Yang Mencerminkan Keragaman Mazhab Filsafat Yang Ada. Hal Ini Terjadi Karena Teks-Teks Filsafat Yang Sama Sering Kali Ditafsirkan Secara Berbeda Oleh Pembaca Yang Berasal Dari Latar Belakang Yang Berbeda, Baik Secara Sosial, Budaya, Maupun Historis. Salah Satu Permasalahan Utama Yang Menjadi Fokus Dalam Penelitian Ini Adalah Bagaimana Teks-Teks Filsafat Yang Ditulis Pada Periode Tertentu, Ketika Ditafsirkan Dalam Konteks Sosial Dan Budaya Yang Berbeda, Menghasilkan Keragaman Dalam Pemikiran Filosofis.</w:t>
      </w:r>
    </w:p>
    <w:p w:rsidR="00B226E0" w:rsidRPr="006416A7" w:rsidRDefault="006416A7" w:rsidP="006416A7">
      <w:pPr>
        <w:spacing w:after="0" w:line="360" w:lineRule="auto"/>
        <w:ind w:firstLine="720"/>
        <w:jc w:val="both"/>
        <w:rPr>
          <w:rFonts w:ascii="Garamond" w:hAnsi="Garamond"/>
          <w:lang w:val="id-ID"/>
        </w:rPr>
      </w:pPr>
      <w:r w:rsidRPr="006416A7">
        <w:rPr>
          <w:rFonts w:ascii="Garamond" w:hAnsi="Garamond"/>
          <w:lang w:val="id-ID"/>
        </w:rPr>
        <w:t>Penelitian Ini Menggunakan Pendekatan Teori Hermeneutika Yang Berfokus Pada Penafsiran Teks. Menurut Hans-Georg Gadamer, Pemahaman Tidak Hanya Dipengaruhi Oleh Teks, Tetapi Juga Oleh Konteks Sosial Dan Historis Di Mana Penafsiran Dilakukan.</w:t>
      </w:r>
      <w:r w:rsidR="00DE1751" w:rsidRPr="006416A7">
        <w:rPr>
          <w:rStyle w:val="FootnoteReference"/>
          <w:rFonts w:ascii="Garamond" w:hAnsi="Garamond"/>
          <w:lang w:val="id-ID"/>
        </w:rPr>
        <w:footnoteReference w:id="8"/>
      </w:r>
      <w:r w:rsidRPr="006416A7">
        <w:rPr>
          <w:rFonts w:ascii="Garamond" w:hAnsi="Garamond"/>
          <w:lang w:val="id-ID"/>
        </w:rPr>
        <w:t xml:space="preserve"> Dalam Hal Ini, Konteks Sosial, Budaya, Dan Historis Menjadi Faktor Penentu Yang Mempengaruhi Makna Yang Terkandung Dalam Teks Filsafat.</w:t>
      </w:r>
    </w:p>
    <w:p w:rsidR="00B226E0" w:rsidRPr="006416A7" w:rsidRDefault="006416A7" w:rsidP="006416A7">
      <w:pPr>
        <w:spacing w:after="0" w:line="360" w:lineRule="auto"/>
        <w:ind w:firstLine="720"/>
        <w:jc w:val="both"/>
        <w:rPr>
          <w:rFonts w:ascii="Garamond" w:hAnsi="Garamond"/>
          <w:lang w:val="id-ID"/>
        </w:rPr>
      </w:pPr>
      <w:bookmarkStart w:id="0" w:name="_Hlk197358353"/>
      <w:r w:rsidRPr="006416A7">
        <w:rPr>
          <w:rFonts w:ascii="Garamond" w:hAnsi="Garamond"/>
          <w:lang w:val="id-ID"/>
        </w:rPr>
        <w:t>Penelitian Mengenai Peran Konteks Dalam Penafsiran Teks Filsafat Sudah Banyak Dilakukan. Sebagai Contoh, Penelitian Oleh Hatfield Yang Menyatakan Bahwa Penafsiran Terhadap Teks-Teks Descartes Dapat Berbeda Secara Signifikan Tergantung Pada Latar Belakang Sosial Dan Politik Pembaca.</w:t>
      </w:r>
      <w:r w:rsidR="00512CB1" w:rsidRPr="006416A7">
        <w:rPr>
          <w:rStyle w:val="FootnoteReference"/>
          <w:rFonts w:ascii="Garamond" w:hAnsi="Garamond"/>
          <w:lang w:val="id-ID"/>
        </w:rPr>
        <w:footnoteReference w:id="9"/>
      </w:r>
      <w:r w:rsidRPr="006416A7">
        <w:rPr>
          <w:rFonts w:ascii="Garamond" w:hAnsi="Garamond"/>
          <w:lang w:val="id-ID"/>
        </w:rPr>
        <w:t xml:space="preserve"> Begitu Juga Dengan Penelitian Oleh Creighton Dalam </w:t>
      </w:r>
      <w:r w:rsidRPr="006416A7">
        <w:rPr>
          <w:rFonts w:ascii="Garamond" w:hAnsi="Garamond"/>
          <w:i/>
          <w:iCs/>
          <w:lang w:val="id-ID"/>
        </w:rPr>
        <w:t>The Philosophical Review</w:t>
      </w:r>
      <w:r w:rsidRPr="006416A7">
        <w:rPr>
          <w:rFonts w:ascii="Garamond" w:hAnsi="Garamond"/>
          <w:lang w:val="id-ID"/>
        </w:rPr>
        <w:t xml:space="preserve"> Yang Menunjukkan Bagaimana Pemikiran Filsuf Eksistensialis Seperti Sartre Dan Heidegger Dipengaruhi Oleh Konteks Sosial Pasca-Perang Dunia Ii.</w:t>
      </w:r>
      <w:r w:rsidR="00512CB1" w:rsidRPr="006416A7">
        <w:rPr>
          <w:rStyle w:val="FootnoteReference"/>
          <w:rFonts w:ascii="Garamond" w:hAnsi="Garamond"/>
          <w:lang w:val="id-ID"/>
        </w:rPr>
        <w:footnoteReference w:id="10"/>
      </w:r>
      <w:r w:rsidRPr="006416A7">
        <w:rPr>
          <w:rFonts w:ascii="Garamond" w:hAnsi="Garamond"/>
          <w:lang w:val="id-ID"/>
        </w:rPr>
        <w:t xml:space="preserve"> Alkhadafi Menjelaskan Interpretasi Teks Dalam Filsafat Timur, Dengan Membedakan Tiga Pendekatan: Bayani Yang Berfokus Pada Pemahaman Tekstual, Irfani Yang Menekankan Pengetahuan Intuitif Dan Mistis, Serta Burhani Yang Mengedepankan Pendekatan Rasional Dan Logis.</w:t>
      </w:r>
      <w:r w:rsidR="00EC5E4D" w:rsidRPr="006416A7">
        <w:rPr>
          <w:rStyle w:val="FootnoteReference"/>
          <w:rFonts w:ascii="Garamond" w:hAnsi="Garamond"/>
          <w:lang w:val="id-ID"/>
        </w:rPr>
        <w:footnoteReference w:id="11"/>
      </w:r>
    </w:p>
    <w:bookmarkEnd w:id="0"/>
    <w:p w:rsidR="00B226E0" w:rsidRPr="006416A7" w:rsidRDefault="006416A7" w:rsidP="006416A7">
      <w:pPr>
        <w:spacing w:after="0" w:line="360" w:lineRule="auto"/>
        <w:ind w:firstLine="720"/>
        <w:jc w:val="both"/>
        <w:rPr>
          <w:rFonts w:ascii="Garamond" w:hAnsi="Garamond"/>
          <w:lang w:val="id-ID"/>
        </w:rPr>
      </w:pPr>
      <w:r w:rsidRPr="006416A7">
        <w:rPr>
          <w:rFonts w:ascii="Garamond" w:hAnsi="Garamond"/>
          <w:lang w:val="id-ID"/>
        </w:rPr>
        <w:t xml:space="preserve">Namun, Penelitian Mengenai Teks-Teks Filsafat Dalam Tradisi Timur, Terutama Islam, Yang Mengkaji Peran Konteks Dalam Penafsiran Teks, Masih Terbatas. Penelitian Ini Bertujuan Untuk Mengisi Kekosongan Tersebut Dengan Memperluas Kajian Mengenai Pengaruh Konteks Dalam Penafsiran Filsafat, Baik Dari Tradisi Barat Maupun Timur. Penelitian Ini Tidak Hanya Memfokuskan Pada Satu Teks Atau Satu Aliran Filsafat Tertentu, Melainkan Menghubungkan Berbagai Aliran Filsafat Dan Menunjukkan Bagaimana Perbedaan Konteks Sosial, Budaya, Dan Historis Memengaruhi Penafsiran Terhadap Teks-Teks Filsafat Besar, Sehingga Menumbuhkan Keragaman Dalam Pemikiran Filosofis. </w:t>
      </w:r>
    </w:p>
    <w:p w:rsidR="00D01A5E" w:rsidRPr="006416A7" w:rsidRDefault="006416A7" w:rsidP="006416A7">
      <w:pPr>
        <w:spacing w:after="0" w:line="360" w:lineRule="auto"/>
        <w:ind w:firstLine="720"/>
        <w:jc w:val="both"/>
        <w:rPr>
          <w:rFonts w:ascii="Garamond" w:hAnsi="Garamond"/>
          <w:lang w:val="id-ID"/>
        </w:rPr>
      </w:pPr>
      <w:r w:rsidRPr="006416A7">
        <w:rPr>
          <w:rFonts w:ascii="Garamond" w:hAnsi="Garamond"/>
          <w:lang w:val="id-ID"/>
        </w:rPr>
        <w:t>Tujuan Utama Dari Artikel Ini Adalah Untuk Menganalisis Bagaimana Interaksi Antara Teks Filsafat Dan Konteks Sosial, Budaya, Serta Historis Melahirkan Keragaman Dalam Mazhab Filsafat, Serta Bagaimana Perbedaan Konteks Mempengaruhi Pemahaman Terhadap Teks-Teks Tersebut. Signifikansi Penelitian Ini Memberikan Perspektif Baru Dalam Memahami Dinamika Perkembangan Filsafat Yang Sangat Dipengaruhi Oleh Interaksi Antara Teks Dan Konteks. Pemahaman Ini, Pada Gilirannya, Dapat Berkontribusi Pada Pengembangan Studi Filsafat Yang Lebih Inklusif Dan Kontekstual, Yang Relevan Dengan Masalah-Masalah Kontemporer Yang Dihadapi Masyarakat Saat Ini.</w:t>
      </w:r>
    </w:p>
    <w:p w:rsidR="002960B4" w:rsidRPr="006416A7" w:rsidRDefault="006416A7" w:rsidP="006416A7">
      <w:pPr>
        <w:spacing w:after="0" w:line="360" w:lineRule="auto"/>
        <w:ind w:firstLine="720"/>
        <w:jc w:val="both"/>
        <w:rPr>
          <w:rFonts w:ascii="Garamond" w:hAnsi="Garamond"/>
          <w:lang w:val="id-ID"/>
        </w:rPr>
      </w:pPr>
      <w:r w:rsidRPr="006416A7">
        <w:rPr>
          <w:rFonts w:ascii="Garamond" w:hAnsi="Garamond"/>
          <w:lang w:val="id-ID"/>
        </w:rPr>
        <w:t>Penelitian Ini Menggunakan Pendekatan Kualitatif Deskriptif, Dengan Tujuan Untuk Menggali Dan Menjelaskan Peran Teks Dan Konteks Dalam Memengaruhi Penafsiran Filsafat Serta Perkembangan Keragaman Mazhab Pemikiran. Pendekatan Kualitatif Deskriptif, Menurut Moleong, Bertujuan Untuk Memperoleh Pemahaman Yang Mendalam Mengenai Fenomena Yang Diteliti Dengan Menganalisis Data Secara Sistematis Dan Menyeluruh.</w:t>
      </w:r>
      <w:r w:rsidR="00EC5E4D" w:rsidRPr="006416A7">
        <w:rPr>
          <w:rStyle w:val="FootnoteReference"/>
          <w:rFonts w:ascii="Garamond" w:hAnsi="Garamond"/>
          <w:lang w:val="id-ID"/>
        </w:rPr>
        <w:footnoteReference w:id="12"/>
      </w:r>
    </w:p>
    <w:p w:rsidR="002960B4" w:rsidRPr="006416A7" w:rsidRDefault="006416A7" w:rsidP="006416A7">
      <w:pPr>
        <w:spacing w:after="0" w:line="360" w:lineRule="auto"/>
        <w:ind w:firstLine="720"/>
        <w:jc w:val="both"/>
        <w:rPr>
          <w:rFonts w:ascii="Garamond" w:hAnsi="Garamond"/>
          <w:lang w:val="id-ID"/>
        </w:rPr>
      </w:pPr>
      <w:r w:rsidRPr="006416A7">
        <w:rPr>
          <w:rFonts w:ascii="Garamond" w:hAnsi="Garamond"/>
          <w:lang w:val="id-ID"/>
        </w:rPr>
        <w:t>Data Dalam Penelitian Ini Dikumpulkan Melalui Kajian Pustaka, Yang Mencakup Artikel Jurnal, Buku, Serta Penelitian-Penelitian Terkait Yang Relevan Dengan Pokok Bahasan. Setelah Data Terkumpul, Analisis Dilakukan Dengan Menggunakan Pendekatan Hermeneutik. Proses Analisis Ini Akan Dilakukan Dengan Cara Pertama, Mengidentifikasi Konteks Sosial, Budaya, Dan Historis Yang Melatarbelakangi Teks-Teks Filsafat Yang Dianalisis; Kedua, Menafsirkan Makna Teks Tersebut Dengan Memperhatikan Latar Belakang Pemikiran Para Filsuf Serta Relevansinya Dalam Kerangka Mazhab Filsafat; Dan Ketiga, Membandingkan Perbedaan Penafsiran Yang Muncul Dari Masing-Masing Mazhab Dengan Memperhatikan Dinamika Konteks Yang Memengaruhinya.</w:t>
      </w:r>
    </w:p>
    <w:p w:rsidR="002960B4" w:rsidRPr="006416A7" w:rsidRDefault="006416A7" w:rsidP="006416A7">
      <w:pPr>
        <w:spacing w:before="240" w:after="120" w:line="360" w:lineRule="auto"/>
        <w:jc w:val="both"/>
        <w:rPr>
          <w:rFonts w:ascii="Garamond" w:hAnsi="Garamond"/>
          <w:b/>
          <w:bCs/>
          <w:lang w:val="id-ID"/>
        </w:rPr>
      </w:pPr>
      <w:r w:rsidRPr="006416A7">
        <w:rPr>
          <w:rFonts w:ascii="Garamond" w:hAnsi="Garamond"/>
          <w:b/>
          <w:bCs/>
          <w:lang w:val="id-ID"/>
        </w:rPr>
        <w:t>Pembahasan</w:t>
      </w:r>
    </w:p>
    <w:p w:rsidR="002960B4" w:rsidRPr="006416A7" w:rsidRDefault="006416A7" w:rsidP="006416A7">
      <w:pPr>
        <w:spacing w:before="240" w:after="120" w:line="360" w:lineRule="auto"/>
        <w:jc w:val="both"/>
        <w:rPr>
          <w:rFonts w:ascii="Garamond" w:hAnsi="Garamond"/>
          <w:b/>
          <w:bCs/>
          <w:lang w:val="id-ID"/>
        </w:rPr>
      </w:pPr>
      <w:r w:rsidRPr="006416A7">
        <w:rPr>
          <w:rFonts w:ascii="Garamond" w:hAnsi="Garamond"/>
          <w:b/>
          <w:bCs/>
          <w:lang w:val="id-ID"/>
        </w:rPr>
        <w:t>Paradigma Berpikir Dalam Filsafat</w:t>
      </w:r>
    </w:p>
    <w:p w:rsidR="009F6887" w:rsidRPr="006416A7" w:rsidRDefault="006416A7" w:rsidP="006416A7">
      <w:pPr>
        <w:spacing w:after="0" w:line="360" w:lineRule="auto"/>
        <w:ind w:firstLine="720"/>
        <w:jc w:val="both"/>
        <w:rPr>
          <w:rFonts w:ascii="Garamond" w:hAnsi="Garamond"/>
          <w:lang w:val="id-ID"/>
        </w:rPr>
      </w:pPr>
      <w:r w:rsidRPr="006416A7">
        <w:rPr>
          <w:rFonts w:ascii="Garamond" w:hAnsi="Garamond"/>
          <w:lang w:val="id-ID"/>
        </w:rPr>
        <w:t>Dalam Perkembangan Filsafat, Paradigma Berpikir Memainkan Peran Penting Dalam Memandu Cara Manusia Memahami Dirinya Dan Dunia Di Sekitarnya. Paradigma-Paradigma Ini Tidak Hanya Mencerminkan Cara Berpikir Filsuf Tentang Realitas, Tetapi Juga Merefleksikan Pengaruh Budaya, Sosial, Dan Historis Pada Cara Pandang Tersebut. Empat Paradigma Utama Yang Membentuk Dasar Pemikiran Filsafat Adalah Kosmosentrisme, Teosentrisme, Antroposentrisme, Dan Logosentrisme.</w:t>
      </w:r>
      <w:r w:rsidR="004B194C" w:rsidRPr="006416A7">
        <w:rPr>
          <w:rStyle w:val="FootnoteReference"/>
          <w:rFonts w:ascii="Garamond" w:hAnsi="Garamond"/>
          <w:lang w:val="id-ID"/>
        </w:rPr>
        <w:footnoteReference w:id="13"/>
      </w:r>
      <w:r w:rsidRPr="006416A7">
        <w:rPr>
          <w:rFonts w:ascii="Garamond" w:hAnsi="Garamond"/>
          <w:lang w:val="id-ID"/>
        </w:rPr>
        <w:t xml:space="preserve"> Masing-Masing Paradigma Ini Memiliki Konsekuensi Penting Dalam Perkembangan Pemikiran Filsafat Dan Mencerminkan Pergeseran Pandangan Filosofis Yang Lebih Besar, Dari Pandangan Alam Semesta Yang Berpusat Pada Kosmos Hingga Pandangan Yang Lebih Menekankan Peran Manusia Dalam Pencarian Makna Hidup.</w:t>
      </w:r>
    </w:p>
    <w:p w:rsidR="00AC498A" w:rsidRPr="006416A7" w:rsidRDefault="006416A7" w:rsidP="006416A7">
      <w:pPr>
        <w:pStyle w:val="ListParagraph"/>
        <w:numPr>
          <w:ilvl w:val="0"/>
          <w:numId w:val="3"/>
        </w:numPr>
        <w:spacing w:after="0" w:line="360" w:lineRule="auto"/>
        <w:ind w:left="426"/>
        <w:jc w:val="both"/>
        <w:rPr>
          <w:rFonts w:ascii="Garamond" w:hAnsi="Garamond"/>
          <w:lang w:val="id-ID"/>
        </w:rPr>
      </w:pPr>
      <w:r w:rsidRPr="006416A7">
        <w:rPr>
          <w:rFonts w:ascii="Garamond" w:hAnsi="Garamond"/>
          <w:i/>
          <w:iCs/>
          <w:lang w:val="id-ID"/>
        </w:rPr>
        <w:t xml:space="preserve">Kosmosentrisme </w:t>
      </w:r>
    </w:p>
    <w:p w:rsidR="00AC498A" w:rsidRPr="006416A7" w:rsidRDefault="006416A7" w:rsidP="006416A7">
      <w:pPr>
        <w:spacing w:after="0" w:line="360" w:lineRule="auto"/>
        <w:ind w:firstLine="720"/>
        <w:jc w:val="both"/>
        <w:rPr>
          <w:rFonts w:ascii="Garamond" w:hAnsi="Garamond"/>
          <w:lang w:val="id-ID"/>
        </w:rPr>
      </w:pPr>
      <w:r w:rsidRPr="006416A7">
        <w:rPr>
          <w:rFonts w:ascii="Garamond" w:hAnsi="Garamond"/>
          <w:lang w:val="id-ID"/>
        </w:rPr>
        <w:t xml:space="preserve">Kata </w:t>
      </w:r>
      <w:r w:rsidRPr="006416A7">
        <w:rPr>
          <w:rFonts w:ascii="Garamond" w:hAnsi="Garamond"/>
          <w:i/>
          <w:iCs/>
          <w:lang w:val="id-ID"/>
        </w:rPr>
        <w:t>Kosmosentrisme</w:t>
      </w:r>
      <w:r w:rsidRPr="006416A7">
        <w:rPr>
          <w:rFonts w:ascii="Garamond" w:hAnsi="Garamond"/>
          <w:lang w:val="id-ID"/>
        </w:rPr>
        <w:t xml:space="preserve"> Berasal Dari Bahasa Yunani, Yaitu </w:t>
      </w:r>
      <w:r w:rsidRPr="006416A7">
        <w:rPr>
          <w:rFonts w:ascii="Garamond" w:hAnsi="Garamond"/>
          <w:i/>
          <w:iCs/>
          <w:lang w:val="id-ID"/>
        </w:rPr>
        <w:t>Kosmos</w:t>
      </w:r>
      <w:r w:rsidRPr="006416A7">
        <w:rPr>
          <w:rFonts w:ascii="Garamond" w:hAnsi="Garamond"/>
          <w:lang w:val="id-ID"/>
        </w:rPr>
        <w:t xml:space="preserve"> Yang Berarti “Alam Semesta” Atau “Tatanan Dunia” Dan </w:t>
      </w:r>
      <w:r w:rsidRPr="006416A7">
        <w:rPr>
          <w:rFonts w:ascii="Garamond" w:hAnsi="Garamond"/>
          <w:i/>
          <w:iCs/>
          <w:lang w:val="id-ID"/>
        </w:rPr>
        <w:t>Kentron</w:t>
      </w:r>
      <w:r w:rsidRPr="006416A7">
        <w:rPr>
          <w:rFonts w:ascii="Garamond" w:hAnsi="Garamond"/>
          <w:lang w:val="id-ID"/>
        </w:rPr>
        <w:t xml:space="preserve"> Yang Berarti “Pusat”. Jadi, Secara Etimologis, Kosmosentrisme Berarti “Pandang Yang Berpusat Pada Alam Semesta”.</w:t>
      </w:r>
      <w:r w:rsidR="004B194C" w:rsidRPr="006416A7">
        <w:rPr>
          <w:rStyle w:val="FootnoteReference"/>
          <w:rFonts w:ascii="Garamond" w:hAnsi="Garamond"/>
          <w:lang w:val="id-ID"/>
        </w:rPr>
        <w:footnoteReference w:id="14"/>
      </w:r>
      <w:r w:rsidRPr="006416A7">
        <w:rPr>
          <w:rFonts w:ascii="Garamond" w:hAnsi="Garamond"/>
          <w:lang w:val="id-ID"/>
        </w:rPr>
        <w:t xml:space="preserve"> Dalam Konteks Filsafat, Kosmosentrisme Adalah Pandangan Yang Menempatkan Alam Semesta Atau Kosmos Sebagai Pusat Dari Pemahaman Tentang Realitas. Pandangan Ini Menganggap Bahwa Manusia Adalah Bagian Dari Tatanan Alam Yang Lebih Besar, Dan Pengetahuan Serta Eksistensi Manusia Seharusnya Dipahami Dalam Kaitannya Dengan Alam Semesta Yang Lebih Luas, Yang Memiliki Tatanan Dan Hukum-Hukum Yang Mengatur Segala Sesuatu.</w:t>
      </w:r>
      <w:r w:rsidR="004B194C" w:rsidRPr="006416A7">
        <w:rPr>
          <w:rStyle w:val="FootnoteReference"/>
          <w:rFonts w:ascii="Garamond" w:hAnsi="Garamond"/>
          <w:lang w:val="id-ID"/>
        </w:rPr>
        <w:footnoteReference w:id="15"/>
      </w:r>
    </w:p>
    <w:p w:rsidR="00AC498A" w:rsidRPr="006416A7" w:rsidRDefault="006416A7" w:rsidP="006416A7">
      <w:pPr>
        <w:spacing w:after="0" w:line="360" w:lineRule="auto"/>
        <w:ind w:firstLine="720"/>
        <w:jc w:val="both"/>
        <w:rPr>
          <w:rFonts w:ascii="Garamond" w:hAnsi="Garamond"/>
          <w:lang w:val="id-ID"/>
        </w:rPr>
      </w:pPr>
      <w:r w:rsidRPr="006416A7">
        <w:rPr>
          <w:rFonts w:ascii="Garamond" w:hAnsi="Garamond"/>
          <w:lang w:val="id-ID"/>
        </w:rPr>
        <w:t>Dalam Pandangan Ini, Manusia Dipandang Sebagai Bagian Dari Tatanan Kosmik Yang Lebih Besar, Dan Pemahaman Akan Alam Semesta Ini Sangat Penting Untuk Memahami Eksistensi Manusia. Pandangan Ini Banyak Ditemukan Dalam Filsafat Yunani Kuno, Terutama Pada Pemikiran Pythagoras Dan Heraclitus, Yang Percaya Bahwa Segala Hal Di Alam Semesta Ini Saling Terhubung Dalam Keharmonisan Yang Universal. Pythagoras, Misalnya, Melihat Angka Dan Prinsip Matematika Sebagai Kunci Untuk Memahami Struktur Kosmos.</w:t>
      </w:r>
      <w:r w:rsidR="004B194C" w:rsidRPr="006416A7">
        <w:rPr>
          <w:rStyle w:val="FootnoteReference"/>
          <w:rFonts w:ascii="Garamond" w:hAnsi="Garamond"/>
          <w:lang w:val="id-ID"/>
        </w:rPr>
        <w:footnoteReference w:id="16"/>
      </w:r>
    </w:p>
    <w:p w:rsidR="00AC498A" w:rsidRPr="006416A7" w:rsidRDefault="006416A7" w:rsidP="006416A7">
      <w:pPr>
        <w:spacing w:after="0" w:line="360" w:lineRule="auto"/>
        <w:ind w:firstLine="720"/>
        <w:jc w:val="both"/>
        <w:rPr>
          <w:rFonts w:ascii="Garamond" w:hAnsi="Garamond"/>
          <w:lang w:val="id-ID"/>
        </w:rPr>
      </w:pPr>
      <w:r w:rsidRPr="006416A7">
        <w:rPr>
          <w:rFonts w:ascii="Garamond" w:hAnsi="Garamond"/>
          <w:lang w:val="id-ID"/>
        </w:rPr>
        <w:t>Berdasarkan Kajian Dari</w:t>
      </w:r>
      <w:r w:rsidRPr="006416A7">
        <w:rPr>
          <w:rFonts w:ascii="Garamond" w:hAnsi="Garamond"/>
          <w:i/>
          <w:iCs/>
          <w:lang w:val="id-ID"/>
        </w:rPr>
        <w:t xml:space="preserve"> Rahmawati Et Al.</w:t>
      </w:r>
      <w:r w:rsidRPr="006416A7">
        <w:rPr>
          <w:rFonts w:ascii="Garamond" w:hAnsi="Garamond"/>
          <w:lang w:val="id-ID"/>
        </w:rPr>
        <w:t>, Pythagoras Menggunakan Angka Sebagai Prinsip Penyusun Alam Semesta, Menekankan Hubungan Harmoni Yang Ada Dalam Dunia Alami.</w:t>
      </w:r>
      <w:r w:rsidR="004B194C" w:rsidRPr="006416A7">
        <w:rPr>
          <w:rStyle w:val="FootnoteReference"/>
          <w:rFonts w:ascii="Garamond" w:hAnsi="Garamond"/>
          <w:lang w:val="id-ID"/>
        </w:rPr>
        <w:footnoteReference w:id="17"/>
      </w:r>
      <w:r w:rsidRPr="006416A7">
        <w:rPr>
          <w:rFonts w:ascii="Garamond" w:hAnsi="Garamond"/>
          <w:lang w:val="id-ID"/>
        </w:rPr>
        <w:t xml:space="preserve"> Di Sisi Lain, Heraclitus Melihat Alam Semesta Sebagai Sesuatu Yang Senantiasa Berubah, Namun Masih Mengikuti Hukum-Hukum Tertentu Yang Mengatur Perubahan Tersebut.</w:t>
      </w:r>
      <w:r w:rsidR="003A4646" w:rsidRPr="006416A7">
        <w:rPr>
          <w:rStyle w:val="FootnoteReference"/>
          <w:rFonts w:ascii="Garamond" w:hAnsi="Garamond"/>
          <w:lang w:val="id-ID"/>
        </w:rPr>
        <w:footnoteReference w:id="18"/>
      </w:r>
      <w:r w:rsidRPr="006416A7">
        <w:rPr>
          <w:rFonts w:ascii="Garamond" w:hAnsi="Garamond"/>
          <w:lang w:val="id-ID"/>
        </w:rPr>
        <w:t xml:space="preserve"> Pandangan Ini Menunjukkan Bagaimana Kosmosentrisme Tidak Hanya Memandang Manusia Sebagai Bagian Dari Alam, Tetapi Juga Mengajak Untuk Memahami Keteraturan Dan Keharmonisan Yang Ada Dalam Tatanan Alam Semesta.</w:t>
      </w:r>
    </w:p>
    <w:p w:rsidR="00AC498A" w:rsidRPr="006416A7" w:rsidRDefault="006416A7" w:rsidP="006416A7">
      <w:pPr>
        <w:spacing w:after="0" w:line="360" w:lineRule="auto"/>
        <w:ind w:firstLine="720"/>
        <w:jc w:val="both"/>
        <w:rPr>
          <w:rFonts w:ascii="Garamond" w:hAnsi="Garamond"/>
          <w:lang w:val="id-ID"/>
        </w:rPr>
      </w:pPr>
      <w:r w:rsidRPr="006416A7">
        <w:rPr>
          <w:rFonts w:ascii="Garamond" w:hAnsi="Garamond"/>
          <w:lang w:val="id-ID"/>
        </w:rPr>
        <w:t>Pergeseran Dalam Pemikiran Ini, Menurut</w:t>
      </w:r>
      <w:r w:rsidRPr="006416A7">
        <w:rPr>
          <w:rFonts w:ascii="Garamond" w:hAnsi="Garamond"/>
          <w:i/>
          <w:iCs/>
          <w:lang w:val="id-ID"/>
        </w:rPr>
        <w:t xml:space="preserve"> </w:t>
      </w:r>
      <w:r w:rsidRPr="006416A7">
        <w:rPr>
          <w:rFonts w:ascii="Garamond" w:hAnsi="Garamond"/>
          <w:lang w:val="id-ID"/>
        </w:rPr>
        <w:t>Rahmadina Dan Hambali, Terjadi Ketika Filsuf Modern Mulai Memperkenalkan Paradigma Antroposentrisme Dan Logosentrisme, Yang Lebih Menekankan Pada Kapasitas Rasional Manusia Dalam Memahami Dunia Daripada Sekadar Melihatnya Sebagai Bagian Dari Kosmos Yang Lebih Besar. Perubahan Ini Mencerminkan Pemisahan Antara Manusia Dan Alam, Di Mana Manusia Mulai Menempatkan Dirinya Di Pusat Pemikiran.</w:t>
      </w:r>
      <w:r w:rsidR="003A4646" w:rsidRPr="006416A7">
        <w:rPr>
          <w:rStyle w:val="FootnoteReference"/>
          <w:rFonts w:ascii="Garamond" w:hAnsi="Garamond"/>
          <w:lang w:val="id-ID"/>
        </w:rPr>
        <w:footnoteReference w:id="19"/>
      </w:r>
    </w:p>
    <w:p w:rsidR="00AC498A" w:rsidRPr="006416A7" w:rsidRDefault="006416A7" w:rsidP="006416A7">
      <w:pPr>
        <w:pStyle w:val="ListParagraph"/>
        <w:numPr>
          <w:ilvl w:val="0"/>
          <w:numId w:val="3"/>
        </w:numPr>
        <w:spacing w:after="0" w:line="360" w:lineRule="auto"/>
        <w:ind w:left="426"/>
        <w:jc w:val="both"/>
        <w:rPr>
          <w:rFonts w:ascii="Garamond" w:hAnsi="Garamond"/>
          <w:lang w:val="id-ID"/>
        </w:rPr>
      </w:pPr>
      <w:r w:rsidRPr="006416A7">
        <w:rPr>
          <w:rFonts w:ascii="Garamond" w:hAnsi="Garamond"/>
          <w:lang w:val="id-ID"/>
        </w:rPr>
        <w:t>Teosentrisme</w:t>
      </w:r>
    </w:p>
    <w:p w:rsidR="00AC498A" w:rsidRPr="006416A7" w:rsidRDefault="006416A7" w:rsidP="006416A7">
      <w:pPr>
        <w:pStyle w:val="ListParagraph"/>
        <w:spacing w:after="0" w:line="360" w:lineRule="auto"/>
        <w:ind w:left="66" w:firstLine="720"/>
        <w:jc w:val="both"/>
        <w:rPr>
          <w:rFonts w:ascii="Garamond" w:hAnsi="Garamond"/>
          <w:lang w:val="id-ID"/>
        </w:rPr>
      </w:pPr>
      <w:r w:rsidRPr="006416A7">
        <w:rPr>
          <w:rFonts w:ascii="Garamond" w:hAnsi="Garamond"/>
          <w:lang w:val="id-ID"/>
        </w:rPr>
        <w:t xml:space="preserve">Kata </w:t>
      </w:r>
      <w:r w:rsidRPr="006416A7">
        <w:rPr>
          <w:rFonts w:ascii="Garamond" w:hAnsi="Garamond"/>
          <w:i/>
          <w:iCs/>
          <w:lang w:val="id-ID"/>
        </w:rPr>
        <w:t>Teosentrisme</w:t>
      </w:r>
      <w:r w:rsidRPr="006416A7">
        <w:rPr>
          <w:rFonts w:ascii="Garamond" w:hAnsi="Garamond"/>
          <w:lang w:val="id-ID"/>
        </w:rPr>
        <w:t xml:space="preserve"> Berasal Dari Bahasa Yunani, Yaitu </w:t>
      </w:r>
      <w:r w:rsidRPr="006416A7">
        <w:rPr>
          <w:rFonts w:ascii="Garamond" w:hAnsi="Garamond"/>
          <w:i/>
          <w:iCs/>
          <w:lang w:val="id-ID"/>
        </w:rPr>
        <w:t>Theos</w:t>
      </w:r>
      <w:r w:rsidRPr="006416A7">
        <w:rPr>
          <w:rFonts w:ascii="Garamond" w:hAnsi="Garamond"/>
          <w:lang w:val="id-ID"/>
        </w:rPr>
        <w:t xml:space="preserve"> Yang Berarti “Tuhan” Dan </w:t>
      </w:r>
      <w:r w:rsidRPr="006416A7">
        <w:rPr>
          <w:rFonts w:ascii="Garamond" w:hAnsi="Garamond"/>
          <w:i/>
          <w:iCs/>
          <w:lang w:val="id-ID"/>
        </w:rPr>
        <w:t>Kentron</w:t>
      </w:r>
      <w:r w:rsidRPr="006416A7">
        <w:rPr>
          <w:rFonts w:ascii="Garamond" w:hAnsi="Garamond"/>
          <w:lang w:val="id-ID"/>
        </w:rPr>
        <w:t xml:space="preserve"> Yang Berarti “Pusat”. Secara Etimologis, Teosentrisme Berarti “Pandang Yang Berpusat Pada Tuhan”. Dalam Filsafat, Teosentrisme Adalah Pandangan Yang Menempatkan Tuhan Sebagai Pusat Dari Pemahaman Dunia Dan Eksistensi. Pandangan Ini Meyakini Bahwa Segala Sesuatu, Baik Alam Semesta Maupun Manusia, Adalah Ciptaan Tuhan, Dan Pemahaman Terhadap Kebenaran Atau Moralitas Harus Mengacu Pada Kehendak Dan Ajaran Tuhan.</w:t>
      </w:r>
      <w:r w:rsidR="00420140" w:rsidRPr="006416A7">
        <w:rPr>
          <w:rStyle w:val="FootnoteReference"/>
          <w:rFonts w:ascii="Garamond" w:hAnsi="Garamond"/>
          <w:lang w:val="id-ID"/>
        </w:rPr>
        <w:footnoteReference w:id="20"/>
      </w:r>
    </w:p>
    <w:p w:rsidR="00AC498A" w:rsidRPr="006416A7" w:rsidRDefault="006416A7" w:rsidP="006416A7">
      <w:pPr>
        <w:spacing w:after="0" w:line="360" w:lineRule="auto"/>
        <w:ind w:firstLine="720"/>
        <w:jc w:val="both"/>
        <w:rPr>
          <w:rFonts w:ascii="Garamond" w:hAnsi="Garamond"/>
          <w:lang w:val="id-ID"/>
        </w:rPr>
      </w:pPr>
      <w:r w:rsidRPr="006416A7">
        <w:rPr>
          <w:rFonts w:ascii="Garamond" w:hAnsi="Garamond"/>
          <w:lang w:val="id-ID"/>
        </w:rPr>
        <w:t>Dalam Pandangan Ini, Tuhan Dianggap Sebagai Sumber Utama Dari Segala Sesuatu, Dan Semua Realitas, Baik Alam Semesta Maupun Kehidupan Manusia, Bergantung Pada Kehendak Dan Rencana Tuhan.</w:t>
      </w:r>
      <w:r w:rsidR="005737C8" w:rsidRPr="006416A7">
        <w:rPr>
          <w:rStyle w:val="FootnoteReference"/>
          <w:rFonts w:ascii="Garamond" w:hAnsi="Garamond"/>
          <w:lang w:val="id-ID"/>
        </w:rPr>
        <w:footnoteReference w:id="21"/>
      </w:r>
      <w:r w:rsidRPr="006416A7">
        <w:rPr>
          <w:rFonts w:ascii="Garamond" w:hAnsi="Garamond"/>
          <w:lang w:val="id-ID"/>
        </w:rPr>
        <w:t xml:space="preserve"> Khusnan Menjelaskan Bahwa Teosentrisme Seringkali Dikaitkan Dengan Tradisi Filsafat Religius, Di Mana Pemahaman Terhadap Dunia Dan Moralitas Didasarkan Pada Ajaran Agama Dan Wahyu Ilahi.</w:t>
      </w:r>
      <w:r w:rsidR="005737C8" w:rsidRPr="006416A7">
        <w:rPr>
          <w:rStyle w:val="FootnoteReference"/>
          <w:rFonts w:ascii="Garamond" w:hAnsi="Garamond"/>
          <w:lang w:val="id-ID"/>
        </w:rPr>
        <w:footnoteReference w:id="22"/>
      </w:r>
    </w:p>
    <w:p w:rsidR="00AC498A" w:rsidRPr="006416A7" w:rsidRDefault="006416A7" w:rsidP="006416A7">
      <w:pPr>
        <w:spacing w:after="0" w:line="360" w:lineRule="auto"/>
        <w:ind w:firstLine="720"/>
        <w:jc w:val="both"/>
        <w:rPr>
          <w:rFonts w:ascii="Garamond" w:hAnsi="Garamond"/>
          <w:lang w:val="id-ID"/>
        </w:rPr>
      </w:pPr>
      <w:r w:rsidRPr="006416A7">
        <w:rPr>
          <w:rFonts w:ascii="Garamond" w:hAnsi="Garamond"/>
          <w:lang w:val="id-ID"/>
        </w:rPr>
        <w:t>Pada Abad Pertengahan, Teosentrisme Dominan Dalam Pemikiran Filsafat, Terutama Pada Karya-Karya St. Augustine Dan Thomas Aquinas, Yang Berusaha Menyatukan Rasio Manusia Dengan Iman Religius.</w:t>
      </w:r>
      <w:r w:rsidR="005737C8" w:rsidRPr="006416A7">
        <w:rPr>
          <w:rStyle w:val="FootnoteReference"/>
          <w:rFonts w:ascii="Garamond" w:hAnsi="Garamond"/>
          <w:lang w:val="id-ID"/>
        </w:rPr>
        <w:footnoteReference w:id="23"/>
      </w:r>
      <w:r w:rsidRPr="006416A7">
        <w:rPr>
          <w:rFonts w:ascii="Garamond" w:hAnsi="Garamond"/>
          <w:lang w:val="id-ID"/>
        </w:rPr>
        <w:t xml:space="preserve"> Dalam Hal Ini, Filsafat Menjadi Sarana Untuk Memahami Kebenaran Tuhan, Dan Pemikiran Filsuf Harus Berusaha Untuk Menunjukkan Bagaimana Segala Sesuatu Di Dunia Ini Terhubung Dengan Tuhan. Teosentrisme Menempatkan Tuhan Sebagai Makhluk Yang Transenden Dan Mahakuasa Yang Menjadi Landasan Bagi Segala Pengetahuan Dan Nilai.</w:t>
      </w:r>
    </w:p>
    <w:p w:rsidR="00E91200" w:rsidRPr="006416A7" w:rsidRDefault="006416A7" w:rsidP="006416A7">
      <w:pPr>
        <w:spacing w:after="0" w:line="360" w:lineRule="auto"/>
        <w:ind w:firstLine="720"/>
        <w:jc w:val="both"/>
        <w:rPr>
          <w:rFonts w:ascii="Garamond" w:hAnsi="Garamond"/>
          <w:lang w:val="id-ID"/>
        </w:rPr>
      </w:pPr>
      <w:r w:rsidRPr="006416A7">
        <w:rPr>
          <w:rFonts w:ascii="Garamond" w:hAnsi="Garamond"/>
          <w:lang w:val="id-ID"/>
        </w:rPr>
        <w:t xml:space="preserve">Teosentrisme Ini Selaras Dengan Pandangan Dalam Filsafat Kristen Abad Pertengahan, Yang Menekankan Bahwa Rasio Dan Wahyu Tuhan Harus Berjalan Seiring. Sebagai Contoh, Dalam </w:t>
      </w:r>
      <w:r w:rsidRPr="006416A7">
        <w:rPr>
          <w:rFonts w:ascii="Garamond" w:hAnsi="Garamond"/>
          <w:i/>
          <w:iCs/>
          <w:lang w:val="id-ID"/>
        </w:rPr>
        <w:t>Summa Theologica</w:t>
      </w:r>
      <w:r w:rsidRPr="006416A7">
        <w:rPr>
          <w:rFonts w:ascii="Garamond" w:hAnsi="Garamond"/>
          <w:lang w:val="id-ID"/>
        </w:rPr>
        <w:t>, Aquinas (1265-1274) Berargumen Bahwa Kebenaran Rasional Yang Ditemukan Oleh Manusia Dapat Berkoeksistensi Dengan Kebenaran Yang Bersumber Dari Wahyu.</w:t>
      </w:r>
      <w:r w:rsidR="007349C5" w:rsidRPr="006416A7">
        <w:rPr>
          <w:rStyle w:val="FootnoteReference"/>
          <w:rFonts w:ascii="Garamond" w:hAnsi="Garamond"/>
          <w:lang w:val="id-ID"/>
        </w:rPr>
        <w:footnoteReference w:id="24"/>
      </w:r>
      <w:r w:rsidRPr="006416A7">
        <w:rPr>
          <w:rFonts w:ascii="Garamond" w:hAnsi="Garamond"/>
          <w:lang w:val="id-ID"/>
        </w:rPr>
        <w:t xml:space="preserve"> Menurut</w:t>
      </w:r>
      <w:r w:rsidRPr="006416A7">
        <w:rPr>
          <w:rFonts w:ascii="Garamond" w:hAnsi="Garamond"/>
          <w:i/>
          <w:iCs/>
          <w:lang w:val="id-ID"/>
        </w:rPr>
        <w:t xml:space="preserve"> </w:t>
      </w:r>
      <w:r w:rsidRPr="006416A7">
        <w:rPr>
          <w:rFonts w:ascii="Garamond" w:hAnsi="Garamond"/>
          <w:lang w:val="id-ID"/>
        </w:rPr>
        <w:t>Noor, Pandangan Ini Menjadi Dasar Bagi Banyak Pemikiran Teologis Dan Filsafat Moral Pada Masa Itu, Yang Memandang Bahwa Tuhan Adalah Sumber Dari Segala Pengetahuan Dan Kebajikan.</w:t>
      </w:r>
      <w:r w:rsidR="007349C5" w:rsidRPr="006416A7">
        <w:rPr>
          <w:rStyle w:val="FootnoteReference"/>
          <w:rFonts w:ascii="Garamond" w:hAnsi="Garamond"/>
          <w:lang w:val="id-ID"/>
        </w:rPr>
        <w:footnoteReference w:id="25"/>
      </w:r>
    </w:p>
    <w:p w:rsidR="00E91200" w:rsidRPr="006416A7" w:rsidRDefault="006416A7" w:rsidP="006416A7">
      <w:pPr>
        <w:spacing w:after="0" w:line="360" w:lineRule="auto"/>
        <w:ind w:firstLine="720"/>
        <w:jc w:val="both"/>
        <w:rPr>
          <w:rFonts w:ascii="Garamond" w:hAnsi="Garamond"/>
          <w:lang w:val="id-ID"/>
        </w:rPr>
      </w:pPr>
      <w:r w:rsidRPr="006416A7">
        <w:rPr>
          <w:rFonts w:ascii="Garamond" w:hAnsi="Garamond"/>
          <w:lang w:val="id-ID"/>
        </w:rPr>
        <w:t xml:space="preserve">Meskipun Teosentrisme Dominan Dalam Abad Pertengahan, Pengaruhnya Mulai Terkikis Seiring Berkembangnya Pemikiran Rasionalisme Dan Empirisme. </w:t>
      </w:r>
      <w:r w:rsidRPr="006416A7">
        <w:rPr>
          <w:rFonts w:ascii="Garamond" w:hAnsi="Garamond"/>
          <w:i/>
          <w:iCs/>
          <w:lang w:val="id-ID"/>
        </w:rPr>
        <w:t>Descartes (1637)</w:t>
      </w:r>
      <w:r w:rsidRPr="006416A7">
        <w:rPr>
          <w:rFonts w:ascii="Garamond" w:hAnsi="Garamond"/>
          <w:lang w:val="id-ID"/>
        </w:rPr>
        <w:t xml:space="preserve"> Dan </w:t>
      </w:r>
      <w:r w:rsidRPr="006416A7">
        <w:rPr>
          <w:rFonts w:ascii="Garamond" w:hAnsi="Garamond"/>
          <w:i/>
          <w:iCs/>
          <w:lang w:val="id-ID"/>
        </w:rPr>
        <w:t>Hume (1739)</w:t>
      </w:r>
      <w:r w:rsidRPr="006416A7">
        <w:rPr>
          <w:rFonts w:ascii="Garamond" w:hAnsi="Garamond"/>
          <w:lang w:val="id-ID"/>
        </w:rPr>
        <w:t>, Misalnya, Lebih Fokus Pada Pengetahuan Yang Dapat Diperoleh Oleh Akal Manusia Daripada Bergantung Pada Wahyu Ilahi.</w:t>
      </w:r>
      <w:r w:rsidR="007B79B7" w:rsidRPr="006416A7">
        <w:rPr>
          <w:rStyle w:val="FootnoteReference"/>
          <w:rFonts w:ascii="Garamond" w:hAnsi="Garamond"/>
          <w:lang w:val="id-ID"/>
        </w:rPr>
        <w:footnoteReference w:id="26"/>
      </w:r>
      <w:r w:rsidRPr="006416A7">
        <w:rPr>
          <w:rFonts w:ascii="Garamond" w:hAnsi="Garamond"/>
          <w:lang w:val="id-ID"/>
        </w:rPr>
        <w:t xml:space="preserve"> Namun Demikian, Hidayatulloh Et Al, Menjelskan Bahwa Teosentrisme Tetap Memberi Dampak Penting Pada Cara Filsuf Berpikir Tentang Moralitas Dan Tujuan Hidup Manusia.</w:t>
      </w:r>
      <w:r w:rsidR="007B79B7" w:rsidRPr="006416A7">
        <w:rPr>
          <w:rStyle w:val="FootnoteReference"/>
          <w:rFonts w:ascii="Garamond" w:hAnsi="Garamond"/>
          <w:lang w:val="id-ID"/>
        </w:rPr>
        <w:footnoteReference w:id="27"/>
      </w:r>
    </w:p>
    <w:p w:rsidR="00E91200" w:rsidRPr="006416A7" w:rsidRDefault="00E91200" w:rsidP="006416A7">
      <w:pPr>
        <w:spacing w:after="0" w:line="360" w:lineRule="auto"/>
        <w:jc w:val="both"/>
        <w:rPr>
          <w:rFonts w:ascii="Garamond" w:hAnsi="Garamond"/>
          <w:lang w:val="id-ID"/>
        </w:rPr>
      </w:pPr>
    </w:p>
    <w:p w:rsidR="00E91200" w:rsidRPr="006416A7" w:rsidRDefault="006416A7" w:rsidP="006416A7">
      <w:pPr>
        <w:pStyle w:val="ListParagraph"/>
        <w:numPr>
          <w:ilvl w:val="0"/>
          <w:numId w:val="3"/>
        </w:numPr>
        <w:spacing w:after="0" w:line="360" w:lineRule="auto"/>
        <w:ind w:left="426"/>
        <w:jc w:val="both"/>
        <w:rPr>
          <w:rFonts w:ascii="Garamond" w:hAnsi="Garamond"/>
          <w:lang w:val="id-ID"/>
        </w:rPr>
      </w:pPr>
      <w:r w:rsidRPr="006416A7">
        <w:rPr>
          <w:rFonts w:ascii="Garamond" w:hAnsi="Garamond"/>
          <w:lang w:val="id-ID"/>
        </w:rPr>
        <w:t>Antroposentrisme</w:t>
      </w:r>
    </w:p>
    <w:p w:rsidR="00E91200" w:rsidRPr="006416A7" w:rsidRDefault="006416A7" w:rsidP="006416A7">
      <w:pPr>
        <w:spacing w:after="0" w:line="360" w:lineRule="auto"/>
        <w:ind w:left="66" w:firstLine="720"/>
        <w:jc w:val="both"/>
        <w:rPr>
          <w:rFonts w:ascii="Garamond" w:hAnsi="Garamond"/>
          <w:lang w:val="id-ID"/>
        </w:rPr>
      </w:pPr>
      <w:r w:rsidRPr="006416A7">
        <w:rPr>
          <w:rFonts w:ascii="Garamond" w:hAnsi="Garamond"/>
          <w:lang w:val="id-ID"/>
        </w:rPr>
        <w:t xml:space="preserve">Antroposentrisme Adalah Paradigma Yang Menempatkan Manusia Sebagai Pusat Dari Pemahaman Dunia Dan Realitas. Dalam Pandangan Ini, Manusia Dianggap Sebagai Makhluk Rasional Yang Memiliki Kedudukan Istimewa Di Alam Semesta. Antroposentrisme Berkembang Pesat Pada Zaman Pencerahan </w:t>
      </w:r>
      <w:r w:rsidRPr="006416A7">
        <w:rPr>
          <w:rFonts w:ascii="Garamond" w:hAnsi="Garamond"/>
          <w:i/>
          <w:iCs/>
          <w:lang w:val="id-ID"/>
        </w:rPr>
        <w:t>(Enlightenment),</w:t>
      </w:r>
      <w:r w:rsidRPr="006416A7">
        <w:rPr>
          <w:rFonts w:ascii="Garamond" w:hAnsi="Garamond"/>
          <w:lang w:val="id-ID"/>
        </w:rPr>
        <w:t xml:space="preserve"> Yang Dipelopori Oleh Filsuf Seperti René Descartes, Immanuel Kant, Dan Jean-Jacques Rousseau. Mereka Menekankan Pentingnya Rasio Dan Kebebasan Individu Dalam Menentukan Arah Hidup Dan Moralitas.</w:t>
      </w:r>
      <w:r w:rsidR="00C24CFD" w:rsidRPr="006416A7">
        <w:rPr>
          <w:rStyle w:val="FootnoteReference"/>
          <w:rFonts w:ascii="Garamond" w:hAnsi="Garamond"/>
          <w:lang w:val="id-ID"/>
        </w:rPr>
        <w:footnoteReference w:id="28"/>
      </w:r>
    </w:p>
    <w:p w:rsidR="00E91200" w:rsidRPr="006416A7" w:rsidRDefault="006416A7" w:rsidP="006416A7">
      <w:pPr>
        <w:spacing w:after="0" w:line="360" w:lineRule="auto"/>
        <w:ind w:left="66" w:firstLine="720"/>
        <w:jc w:val="both"/>
        <w:rPr>
          <w:rFonts w:ascii="Garamond" w:hAnsi="Garamond"/>
          <w:lang w:val="id-ID"/>
        </w:rPr>
      </w:pPr>
      <w:r w:rsidRPr="006416A7">
        <w:rPr>
          <w:rFonts w:ascii="Garamond" w:hAnsi="Garamond"/>
          <w:lang w:val="id-ID"/>
        </w:rPr>
        <w:t xml:space="preserve">Secara Definitif Kata </w:t>
      </w:r>
      <w:r w:rsidRPr="006416A7">
        <w:rPr>
          <w:rFonts w:ascii="Garamond" w:hAnsi="Garamond"/>
          <w:i/>
          <w:iCs/>
          <w:lang w:val="id-ID"/>
        </w:rPr>
        <w:t>Antroposentrisme</w:t>
      </w:r>
      <w:r w:rsidRPr="006416A7">
        <w:rPr>
          <w:rFonts w:ascii="Garamond" w:hAnsi="Garamond"/>
          <w:lang w:val="id-ID"/>
        </w:rPr>
        <w:t xml:space="preserve"> Berasal Dari Bahasa Yunani, Yaitu </w:t>
      </w:r>
      <w:r w:rsidRPr="006416A7">
        <w:rPr>
          <w:rFonts w:ascii="Garamond" w:hAnsi="Garamond"/>
          <w:i/>
          <w:iCs/>
          <w:lang w:val="id-ID"/>
        </w:rPr>
        <w:t>Anthropos</w:t>
      </w:r>
      <w:r w:rsidRPr="006416A7">
        <w:rPr>
          <w:rFonts w:ascii="Garamond" w:hAnsi="Garamond"/>
          <w:lang w:val="id-ID"/>
        </w:rPr>
        <w:t xml:space="preserve"> Yang Berarti “Manusia” Dan </w:t>
      </w:r>
      <w:r w:rsidRPr="006416A7">
        <w:rPr>
          <w:rFonts w:ascii="Garamond" w:hAnsi="Garamond"/>
          <w:i/>
          <w:iCs/>
          <w:lang w:val="id-ID"/>
        </w:rPr>
        <w:t>Kentron</w:t>
      </w:r>
      <w:r w:rsidRPr="006416A7">
        <w:rPr>
          <w:rFonts w:ascii="Garamond" w:hAnsi="Garamond"/>
          <w:lang w:val="id-ID"/>
        </w:rPr>
        <w:t xml:space="preserve"> Yang Berarti “Pusat”. Secara Etimologis, Antroposentrisme Berarti “Pandang Yang Berpusat Pada Manusia”. Dalam Filsafat, Antroposentrisme Adalah Pandangan Yang Menempatkan Manusia Sebagai Pusat Dari Pemahaman Dunia Dan Realitas. Dalam Pandangan Ini, Manusia Dianggap Sebagai Makhluk Rasional Yang Memiliki Kedudukan Khusus Dan Dominasi Dalam Tatanan Dunia. Semua Hal Diukur Berdasarkan Kepentingan Manusia, Dengan Keyakinan Bahwa Manusia Dapat Dan Seharusnya Mengendalikan Dunia Sekitar Untuk Kepentingannya.</w:t>
      </w:r>
      <w:r w:rsidR="00C24CFD" w:rsidRPr="006416A7">
        <w:rPr>
          <w:rStyle w:val="FootnoteReference"/>
          <w:rFonts w:ascii="Garamond" w:hAnsi="Garamond"/>
          <w:lang w:val="id-ID"/>
        </w:rPr>
        <w:footnoteReference w:id="29"/>
      </w:r>
    </w:p>
    <w:p w:rsidR="00E91200" w:rsidRPr="006416A7" w:rsidRDefault="006416A7" w:rsidP="006416A7">
      <w:pPr>
        <w:spacing w:after="0" w:line="360" w:lineRule="auto"/>
        <w:ind w:left="66" w:firstLine="720"/>
        <w:jc w:val="both"/>
        <w:rPr>
          <w:rFonts w:ascii="Garamond" w:hAnsi="Garamond"/>
          <w:lang w:val="id-ID"/>
        </w:rPr>
      </w:pPr>
      <w:r w:rsidRPr="006416A7">
        <w:rPr>
          <w:rFonts w:ascii="Garamond" w:hAnsi="Garamond"/>
          <w:lang w:val="id-ID"/>
        </w:rPr>
        <w:t xml:space="preserve">Pada Abad Ke-17, Descartes (1641) Dengan </w:t>
      </w:r>
      <w:r w:rsidRPr="006416A7">
        <w:rPr>
          <w:rFonts w:ascii="Garamond" w:hAnsi="Garamond"/>
          <w:i/>
          <w:iCs/>
          <w:lang w:val="id-ID"/>
        </w:rPr>
        <w:t>Cogito, Ergo Sum</w:t>
      </w:r>
      <w:r w:rsidRPr="006416A7">
        <w:rPr>
          <w:rFonts w:ascii="Garamond" w:hAnsi="Garamond"/>
          <w:lang w:val="id-ID"/>
        </w:rPr>
        <w:t xml:space="preserve"> (“Saya Berpikir, Maka Saya Ada”) Mengajukan Bahwa Kapasitas Berpikir Adalah Bukti Eksistensi Manusia, Menjadikannya Titik Awal Untuk Memahami Dunia. Kant (1781), Dalam </w:t>
      </w:r>
      <w:r w:rsidRPr="006416A7">
        <w:rPr>
          <w:rFonts w:ascii="Garamond" w:hAnsi="Garamond"/>
          <w:i/>
          <w:iCs/>
          <w:lang w:val="id-ID"/>
        </w:rPr>
        <w:t>Kritik Atas Akal Murni</w:t>
      </w:r>
      <w:r w:rsidRPr="006416A7">
        <w:rPr>
          <w:rFonts w:ascii="Garamond" w:hAnsi="Garamond"/>
          <w:lang w:val="id-ID"/>
        </w:rPr>
        <w:t>, Menyatakan Bahwa Pengetahuan Manusia Dibentuk Oleh Struktur Kognitif Yang Ada Pada Akal Budi, Sehingga Segala Pengalaman Manusia Dipengaruhi Oleh Cara Manusia Mengorganisasi Dunia Melalui Kategorisasi Rasional.</w:t>
      </w:r>
      <w:r w:rsidR="00C24CFD" w:rsidRPr="006416A7">
        <w:rPr>
          <w:rStyle w:val="FootnoteReference"/>
          <w:rFonts w:ascii="Garamond" w:hAnsi="Garamond"/>
          <w:lang w:val="id-ID"/>
        </w:rPr>
        <w:footnoteReference w:id="30"/>
      </w:r>
    </w:p>
    <w:p w:rsidR="00E91200" w:rsidRDefault="006416A7" w:rsidP="00096D9C">
      <w:pPr>
        <w:spacing w:after="0" w:line="360" w:lineRule="auto"/>
        <w:ind w:left="66" w:firstLine="720"/>
        <w:jc w:val="both"/>
        <w:rPr>
          <w:rFonts w:ascii="Garamond" w:hAnsi="Garamond"/>
          <w:lang w:val="en-US"/>
        </w:rPr>
      </w:pPr>
      <w:r w:rsidRPr="006416A7">
        <w:rPr>
          <w:rFonts w:ascii="Garamond" w:hAnsi="Garamond"/>
          <w:lang w:val="id-ID"/>
        </w:rPr>
        <w:t>Sebagaimana Disarankan Oleh Foucault Dalam Analisis Kekuasaan Dan Pengetahuan, Antroposentrisme Juga Mengarah Pada Perkembangan Teori-Teori Yang Menekankan Otonomi Dan Kebebasan Individu Dalam Menentukan Kebenaran Dan Nilai-Nilai Moral.</w:t>
      </w:r>
      <w:r w:rsidR="00C24CFD" w:rsidRPr="006416A7">
        <w:rPr>
          <w:rStyle w:val="FootnoteReference"/>
          <w:rFonts w:ascii="Garamond" w:hAnsi="Garamond"/>
          <w:lang w:val="id-ID"/>
        </w:rPr>
        <w:footnoteReference w:id="31"/>
      </w:r>
      <w:r w:rsidRPr="006416A7">
        <w:rPr>
          <w:rFonts w:ascii="Garamond" w:hAnsi="Garamond"/>
          <w:lang w:val="id-ID"/>
        </w:rPr>
        <w:t xml:space="preserve"> Namun, Mylius Mengkritik Antroposentrisme Sebagai Pandangan Yang Mengabaikan Tradisi Dan Kontekstualitas, Dengan Menunjukkan Bahwa Moralitas Tidak Bisa Dipisahkan Dari Konteks Sosial Dan Budaya.</w:t>
      </w:r>
      <w:r w:rsidR="00C62FA5" w:rsidRPr="006416A7">
        <w:rPr>
          <w:rStyle w:val="FootnoteReference"/>
          <w:rFonts w:ascii="Garamond" w:hAnsi="Garamond"/>
          <w:lang w:val="id-ID"/>
        </w:rPr>
        <w:footnoteReference w:id="32"/>
      </w:r>
    </w:p>
    <w:p w:rsidR="00096D9C" w:rsidRDefault="00096D9C" w:rsidP="00096D9C">
      <w:pPr>
        <w:spacing w:after="0" w:line="360" w:lineRule="auto"/>
        <w:ind w:left="66" w:firstLine="720"/>
        <w:jc w:val="both"/>
        <w:rPr>
          <w:rFonts w:ascii="Garamond" w:hAnsi="Garamond"/>
          <w:lang w:val="en-US"/>
        </w:rPr>
      </w:pPr>
    </w:p>
    <w:p w:rsidR="00096D9C" w:rsidRPr="00096D9C" w:rsidRDefault="00096D9C" w:rsidP="00096D9C">
      <w:pPr>
        <w:spacing w:after="0" w:line="360" w:lineRule="auto"/>
        <w:ind w:left="66" w:firstLine="720"/>
        <w:jc w:val="both"/>
        <w:rPr>
          <w:rFonts w:ascii="Garamond" w:hAnsi="Garamond"/>
          <w:lang w:val="en-US"/>
        </w:rPr>
      </w:pPr>
    </w:p>
    <w:p w:rsidR="00E91200" w:rsidRPr="006416A7" w:rsidRDefault="006416A7" w:rsidP="006416A7">
      <w:pPr>
        <w:pStyle w:val="ListParagraph"/>
        <w:numPr>
          <w:ilvl w:val="0"/>
          <w:numId w:val="3"/>
        </w:numPr>
        <w:spacing w:after="0" w:line="360" w:lineRule="auto"/>
        <w:ind w:left="426"/>
        <w:jc w:val="both"/>
        <w:rPr>
          <w:rFonts w:ascii="Garamond" w:hAnsi="Garamond"/>
          <w:lang w:val="id-ID"/>
        </w:rPr>
      </w:pPr>
      <w:r w:rsidRPr="006416A7">
        <w:rPr>
          <w:rFonts w:ascii="Garamond" w:hAnsi="Garamond"/>
          <w:lang w:val="id-ID"/>
        </w:rPr>
        <w:t>Logosentrisme</w:t>
      </w:r>
    </w:p>
    <w:p w:rsidR="00E91200" w:rsidRPr="006416A7" w:rsidRDefault="006416A7" w:rsidP="006416A7">
      <w:pPr>
        <w:spacing w:after="0" w:line="360" w:lineRule="auto"/>
        <w:ind w:left="66" w:firstLine="654"/>
        <w:jc w:val="both"/>
        <w:rPr>
          <w:rFonts w:ascii="Garamond" w:hAnsi="Garamond"/>
          <w:lang w:val="id-ID"/>
        </w:rPr>
      </w:pPr>
      <w:r w:rsidRPr="006416A7">
        <w:rPr>
          <w:rFonts w:ascii="Garamond" w:hAnsi="Garamond"/>
          <w:lang w:val="id-ID"/>
        </w:rPr>
        <w:t xml:space="preserve">Kata </w:t>
      </w:r>
      <w:r w:rsidRPr="006416A7">
        <w:rPr>
          <w:rFonts w:ascii="Garamond" w:hAnsi="Garamond"/>
          <w:i/>
          <w:iCs/>
          <w:lang w:val="id-ID"/>
        </w:rPr>
        <w:t>Logosentrisme</w:t>
      </w:r>
      <w:r w:rsidRPr="006416A7">
        <w:rPr>
          <w:rFonts w:ascii="Garamond" w:hAnsi="Garamond"/>
          <w:lang w:val="id-ID"/>
        </w:rPr>
        <w:t xml:space="preserve"> Berasal Dari Bahasa Yunani, Yaitu </w:t>
      </w:r>
      <w:r w:rsidRPr="006416A7">
        <w:rPr>
          <w:rFonts w:ascii="Garamond" w:hAnsi="Garamond"/>
          <w:i/>
          <w:iCs/>
          <w:lang w:val="id-ID"/>
        </w:rPr>
        <w:t>Logos</w:t>
      </w:r>
      <w:r w:rsidRPr="006416A7">
        <w:rPr>
          <w:rFonts w:ascii="Garamond" w:hAnsi="Garamond"/>
          <w:lang w:val="id-ID"/>
        </w:rPr>
        <w:t xml:space="preserve"> Yang Berarti “Rasio”, “Akal”, Atau “Prinsip”, Dan </w:t>
      </w:r>
      <w:r w:rsidRPr="006416A7">
        <w:rPr>
          <w:rFonts w:ascii="Garamond" w:hAnsi="Garamond"/>
          <w:i/>
          <w:iCs/>
          <w:lang w:val="id-ID"/>
        </w:rPr>
        <w:t>Kentron</w:t>
      </w:r>
      <w:r w:rsidRPr="006416A7">
        <w:rPr>
          <w:rFonts w:ascii="Garamond" w:hAnsi="Garamond"/>
          <w:lang w:val="id-ID"/>
        </w:rPr>
        <w:t xml:space="preserve"> Yang Berarti “Pusat”. Secara Etimologis, Logosentrisme Berarti “Pandang Yang Berpusat Pada Rasio”. Dalam Filsafat, Logosentrisme Adalah Pandangan Yang Menempatkan Logos, Yaitu Rasio Atau Prinsip Rasional, Sebagai Pusat Dari Pemahaman Tentang Dunia. Logosentrisme Menganggap Bahwa Akal Budi Dan Bahasa Adalah Alat Utama Untuk Memahami Dunia Dan Menemukan Kebenaran. Dalam Pandangan Ini, Makna Dan Pengetahuan Dapat Dicapai Melalui Pemikiran Rasional Dan Pengorganisasian Konsep-Konsep Secara Logis.</w:t>
      </w:r>
      <w:r w:rsidR="001039F9" w:rsidRPr="006416A7">
        <w:rPr>
          <w:rStyle w:val="FootnoteReference"/>
          <w:rFonts w:ascii="Garamond" w:hAnsi="Garamond"/>
          <w:lang w:val="id-ID"/>
        </w:rPr>
        <w:footnoteReference w:id="33"/>
      </w:r>
    </w:p>
    <w:p w:rsidR="00E91200" w:rsidRPr="006416A7" w:rsidRDefault="006416A7" w:rsidP="006416A7">
      <w:pPr>
        <w:spacing w:after="0" w:line="360" w:lineRule="auto"/>
        <w:ind w:left="66" w:firstLine="654"/>
        <w:jc w:val="both"/>
        <w:rPr>
          <w:rFonts w:ascii="Garamond" w:hAnsi="Garamond"/>
          <w:lang w:val="id-ID"/>
        </w:rPr>
      </w:pPr>
      <w:r w:rsidRPr="006416A7">
        <w:rPr>
          <w:rFonts w:ascii="Garamond" w:hAnsi="Garamond"/>
          <w:lang w:val="id-ID"/>
        </w:rPr>
        <w:t>Tamawiwy Menjelaskan Bahwa Logosentrisme Menganggap Logos (Rasio Atau Prinsip Rasional) Sebagai Pusat Dari Pemahaman Filsafat, Juga Berkembang Dari Tradisi Filsafat Yunani, Terutama Melalui Pemikiran Heraclitus Dan Plato. Dalam Logosentrisme, Rasio Dan Bahasa Dianggap Sebagai Instrumen Utama Untuk Memahami Dunia Dan Realitas. Heraclitus Melihat Logos Sebagai Prinsip Yang Mengatur Perubahan Di Dunia, Sementara Plato Memperkenalkan Konsep Bentuk (Forms) Yang Hanya Bisa Dipahami Dengan Akal Budi, Sebagai Bentuk Tertinggi Dari Logos.</w:t>
      </w:r>
      <w:r w:rsidR="004E5A25" w:rsidRPr="006416A7">
        <w:rPr>
          <w:rStyle w:val="FootnoteReference"/>
          <w:rFonts w:ascii="Garamond" w:hAnsi="Garamond"/>
          <w:lang w:val="id-ID"/>
        </w:rPr>
        <w:footnoteReference w:id="34"/>
      </w:r>
      <w:r w:rsidRPr="006416A7">
        <w:rPr>
          <w:rFonts w:ascii="Garamond" w:hAnsi="Garamond"/>
          <w:lang w:val="id-ID"/>
        </w:rPr>
        <w:t xml:space="preserve"> Konsep Ini Berlanjut Pada Perkembangan Filsafat Modern, Terutama Dalam Tradisi Filsafat Analitik, Yang Menekankan Peran Bahasa Dan Logika Dalam Membentuk Pengetahuan. Dalam </w:t>
      </w:r>
      <w:r w:rsidRPr="006416A7">
        <w:rPr>
          <w:rFonts w:ascii="Garamond" w:hAnsi="Garamond"/>
          <w:i/>
          <w:iCs/>
          <w:lang w:val="id-ID"/>
        </w:rPr>
        <w:t>Philosophical Investigations</w:t>
      </w:r>
      <w:r w:rsidRPr="006416A7">
        <w:rPr>
          <w:rFonts w:ascii="Garamond" w:hAnsi="Garamond"/>
          <w:lang w:val="id-ID"/>
        </w:rPr>
        <w:t>, Wittgenstein Menekankan Bahwa Bahasa Adalah Sarana Untuk Memahami Dunia, Di Mana Makna Dari Suatu Konsep Hanya Dapat Ditemukan Dalam Konteks Penggunaannya Dalam Percakapan.</w:t>
      </w:r>
      <w:r w:rsidR="004E5A25" w:rsidRPr="006416A7">
        <w:rPr>
          <w:rStyle w:val="FootnoteReference"/>
          <w:rFonts w:ascii="Garamond" w:hAnsi="Garamond"/>
          <w:lang w:val="id-ID"/>
        </w:rPr>
        <w:footnoteReference w:id="35"/>
      </w:r>
    </w:p>
    <w:p w:rsidR="00E91200" w:rsidRPr="006416A7" w:rsidRDefault="006416A7" w:rsidP="006416A7">
      <w:pPr>
        <w:spacing w:after="0" w:line="360" w:lineRule="auto"/>
        <w:ind w:left="66" w:firstLine="654"/>
        <w:jc w:val="both"/>
        <w:rPr>
          <w:rFonts w:ascii="Garamond" w:hAnsi="Garamond"/>
          <w:lang w:val="id-ID"/>
        </w:rPr>
      </w:pPr>
      <w:r w:rsidRPr="006416A7">
        <w:rPr>
          <w:rFonts w:ascii="Garamond" w:hAnsi="Garamond"/>
          <w:lang w:val="id-ID"/>
        </w:rPr>
        <w:t>Dalam Perkembangan Kontemporer, Teori Dekonstruksi Yang Dikembangkan Oleh Derrida Mengkritik Dominasi Logos Dalam Tradisi Filsafat Barat. Derrida Menunjukkan Bahwa Makna Dalam Bahasa Tidak Pernah Tetap Dan Selalu Terbuka Untuk Interpretasi Yang Beragam, Yang Menjadikan Logos Lebih Bersifat Dinamis Daripada Absolut.</w:t>
      </w:r>
      <w:r w:rsidR="004E5A25" w:rsidRPr="006416A7">
        <w:rPr>
          <w:rStyle w:val="FootnoteReference"/>
          <w:rFonts w:ascii="Garamond" w:hAnsi="Garamond"/>
          <w:lang w:val="id-ID"/>
        </w:rPr>
        <w:footnoteReference w:id="36"/>
      </w:r>
      <w:r w:rsidRPr="006416A7">
        <w:rPr>
          <w:rFonts w:ascii="Garamond" w:hAnsi="Garamond"/>
          <w:lang w:val="id-ID"/>
        </w:rPr>
        <w:t xml:space="preserve"> Hal Ini Membuka Ruang Bagi Perspektif Yang Lebih Pluralis Dalam Filsafat, Yang Mengakui Keragaman Interpretasi Dan Perspektif.</w:t>
      </w:r>
    </w:p>
    <w:p w:rsidR="00105CA0" w:rsidRPr="006416A7" w:rsidRDefault="006416A7" w:rsidP="006416A7">
      <w:pPr>
        <w:spacing w:after="0" w:line="360" w:lineRule="auto"/>
        <w:ind w:left="66" w:firstLine="654"/>
        <w:jc w:val="both"/>
        <w:rPr>
          <w:rFonts w:ascii="Garamond" w:hAnsi="Garamond"/>
          <w:lang w:val="id-ID"/>
        </w:rPr>
      </w:pPr>
      <w:r w:rsidRPr="006416A7">
        <w:rPr>
          <w:rFonts w:ascii="Garamond" w:hAnsi="Garamond"/>
          <w:lang w:val="id-ID"/>
        </w:rPr>
        <w:t xml:space="preserve">Logosentrisme Menganggap Rasio Dan Prinsip Rasional Sebagai Pusat Dalam Pemahaman Dunia Dan Kebenaran. Namun, Meskipun Rasio Menjadi Alat Utama Untuk Memahami Makna Dan Konsep-Konsep Dunia, Perkembangan Filsafat Modern Menunjukkan Adanya Tantangan Terhadap Pandangan Ini, Terutama Dengan Teori </w:t>
      </w:r>
      <w:r w:rsidRPr="006416A7">
        <w:rPr>
          <w:rFonts w:ascii="Garamond" w:hAnsi="Garamond"/>
          <w:i/>
          <w:iCs/>
          <w:lang w:val="id-ID"/>
        </w:rPr>
        <w:t>Falsifikasi</w:t>
      </w:r>
      <w:r w:rsidRPr="006416A7">
        <w:rPr>
          <w:rFonts w:ascii="Garamond" w:hAnsi="Garamond"/>
          <w:lang w:val="id-ID"/>
        </w:rPr>
        <w:t xml:space="preserve"> Oleh Filsuf Karl Popper.</w:t>
      </w:r>
      <w:r w:rsidR="004E5A25" w:rsidRPr="006416A7">
        <w:rPr>
          <w:rStyle w:val="FootnoteReference"/>
          <w:rFonts w:ascii="Garamond" w:hAnsi="Garamond"/>
          <w:lang w:val="id-ID"/>
        </w:rPr>
        <w:footnoteReference w:id="37"/>
      </w:r>
    </w:p>
    <w:p w:rsidR="00105CA0" w:rsidRPr="006416A7" w:rsidRDefault="006416A7" w:rsidP="006416A7">
      <w:pPr>
        <w:spacing w:after="0" w:line="360" w:lineRule="auto"/>
        <w:ind w:left="66" w:firstLine="654"/>
        <w:jc w:val="both"/>
        <w:rPr>
          <w:rFonts w:ascii="Garamond" w:hAnsi="Garamond"/>
          <w:lang w:val="id-ID"/>
        </w:rPr>
      </w:pPr>
      <w:r w:rsidRPr="006416A7">
        <w:rPr>
          <w:rFonts w:ascii="Garamond" w:hAnsi="Garamond"/>
          <w:lang w:val="id-ID"/>
        </w:rPr>
        <w:t>Menurut Popper, Falsifikasi Adalah Metode Ilmiah Yang Mengharuskan Setiap Teori Ilmiah Untuk Dapat Diuji Dan Diuji Kembali, Dengan Tujuan Untuk Membuktikan Apakah Teori Tersebut Salah Atau Benar.</w:t>
      </w:r>
      <w:r w:rsidR="004E5A25" w:rsidRPr="006416A7">
        <w:rPr>
          <w:rStyle w:val="FootnoteReference"/>
          <w:rFonts w:ascii="Garamond" w:hAnsi="Garamond"/>
          <w:lang w:val="id-ID"/>
        </w:rPr>
        <w:footnoteReference w:id="38"/>
      </w:r>
      <w:r w:rsidRPr="006416A7">
        <w:rPr>
          <w:rFonts w:ascii="Garamond" w:hAnsi="Garamond"/>
          <w:lang w:val="id-ID"/>
        </w:rPr>
        <w:t xml:space="preserve"> Haryono Menjelaskan Bahwa </w:t>
      </w:r>
      <w:r w:rsidRPr="006416A7">
        <w:rPr>
          <w:rFonts w:ascii="Garamond" w:hAnsi="Garamond"/>
          <w:i/>
          <w:iCs/>
          <w:lang w:val="id-ID"/>
        </w:rPr>
        <w:t>Logos</w:t>
      </w:r>
      <w:r w:rsidRPr="006416A7">
        <w:rPr>
          <w:rFonts w:ascii="Garamond" w:hAnsi="Garamond"/>
          <w:lang w:val="id-ID"/>
        </w:rPr>
        <w:t xml:space="preserve"> Atau Rasio Yang Menjadi Pusat Dalam Pemahaman Dunia, Dianggap Tidak Absolut Dan Terbuka Untuk Koreksi Melalui Proses Pembuktian Dan Pengujian. Tidak Ada Teori Yang Dianggap Final Atau Mutlak Benar, Melainkan Semuanya Selalu Terbuka Untuk Diuji Dan Dibuktikan Kesalahannya.</w:t>
      </w:r>
      <w:r w:rsidR="004E5A25" w:rsidRPr="006416A7">
        <w:rPr>
          <w:rStyle w:val="FootnoteReference"/>
          <w:rFonts w:ascii="Garamond" w:hAnsi="Garamond"/>
          <w:lang w:val="id-ID"/>
        </w:rPr>
        <w:footnoteReference w:id="39"/>
      </w:r>
    </w:p>
    <w:p w:rsidR="00105CA0" w:rsidRPr="006416A7" w:rsidRDefault="006416A7" w:rsidP="006416A7">
      <w:pPr>
        <w:spacing w:after="0" w:line="360" w:lineRule="auto"/>
        <w:ind w:left="66" w:firstLine="654"/>
        <w:jc w:val="both"/>
        <w:rPr>
          <w:rFonts w:ascii="Garamond" w:hAnsi="Garamond"/>
          <w:lang w:val="id-ID"/>
        </w:rPr>
      </w:pPr>
      <w:r w:rsidRPr="006416A7">
        <w:rPr>
          <w:rFonts w:ascii="Garamond" w:hAnsi="Garamond"/>
          <w:lang w:val="id-ID"/>
        </w:rPr>
        <w:t>Popper Berargumen Bahwa Pengetahuan Yang Benar Adalah Pengetahuan Yang Dapat Diuji Melalui Eksperimen Dan Observasi, Dan Kebenaran Dalam Ilmu Pengetahuan Tidak Pernah Dapat Dibuktikan Secara Absolut, Melainkan Hanya Dapat Dipertahankan Sampai Suatu Teori Atau Hipotesis Dibuktikan Salah (Falsifikasi).</w:t>
      </w:r>
      <w:r w:rsidR="00D73689" w:rsidRPr="006416A7">
        <w:rPr>
          <w:rStyle w:val="FootnoteReference"/>
          <w:rFonts w:ascii="Garamond" w:hAnsi="Garamond"/>
          <w:lang w:val="id-ID"/>
        </w:rPr>
        <w:footnoteReference w:id="40"/>
      </w:r>
      <w:r w:rsidRPr="006416A7">
        <w:rPr>
          <w:rFonts w:ascii="Garamond" w:hAnsi="Garamond"/>
          <w:lang w:val="id-ID"/>
        </w:rPr>
        <w:t xml:space="preserve"> Dalam Hal Ini, Rasio Yang Menjadi Pusat Dalam Logosentrisme Tetap Digunakan, Namun Teori-Teori Yang Dibangun Dengan Rasio Tersebut Selalu Terbuka Untuk Pengujian Dan Pembuktian Kesalahan, Yang Memberi Ruang Bagi Perkembangan Pengetahuan Dan Pembaruan Konsep-Konsep Filsafat.</w:t>
      </w:r>
      <w:r w:rsidR="00D73689" w:rsidRPr="006416A7">
        <w:rPr>
          <w:rStyle w:val="FootnoteReference"/>
          <w:rFonts w:ascii="Garamond" w:hAnsi="Garamond"/>
          <w:lang w:val="id-ID"/>
        </w:rPr>
        <w:footnoteReference w:id="41"/>
      </w:r>
    </w:p>
    <w:p w:rsidR="00105CA0" w:rsidRPr="006416A7" w:rsidRDefault="006416A7" w:rsidP="006416A7">
      <w:pPr>
        <w:spacing w:after="0" w:line="360" w:lineRule="auto"/>
        <w:ind w:left="66" w:firstLine="654"/>
        <w:jc w:val="both"/>
        <w:rPr>
          <w:rFonts w:ascii="Garamond" w:hAnsi="Garamond"/>
          <w:lang w:val="id-ID"/>
        </w:rPr>
      </w:pPr>
      <w:r w:rsidRPr="006416A7">
        <w:rPr>
          <w:rFonts w:ascii="Garamond" w:hAnsi="Garamond"/>
          <w:lang w:val="id-ID"/>
        </w:rPr>
        <w:t>Sementara Logosentrisme Berfokus Pada Rasio Sebagai Alat Utama Untuk Memahami Dunia Dan Mencari Kebenaran, Teori Falsifikasi Membawa Kesadaran Bahwa Pemikiran Manusia Tidak Dapat Dianggap Final Atau Selesai. Dengan Demikian, Falsifikasi Memperkenalkan Perspektif Yang Lebih Dinamis Dalam Berpikir, Yang Menunjukkan Bahwa Bahkan Pemikiran Rasional Dan Penggunaan Bahasa Dalam Logosentrisme Pun Harus Senantiasa Diuji Dan Dievaluasi.</w:t>
      </w:r>
    </w:p>
    <w:p w:rsidR="00105CA0" w:rsidRPr="006416A7" w:rsidRDefault="00105CA0" w:rsidP="006416A7">
      <w:pPr>
        <w:spacing w:after="0" w:line="360" w:lineRule="auto"/>
        <w:jc w:val="both"/>
        <w:rPr>
          <w:rFonts w:ascii="Garamond" w:hAnsi="Garamond"/>
          <w:lang w:val="id-ID"/>
        </w:rPr>
      </w:pPr>
    </w:p>
    <w:p w:rsidR="001323DD" w:rsidRPr="006416A7" w:rsidRDefault="006416A7" w:rsidP="006416A7">
      <w:pPr>
        <w:spacing w:after="0" w:line="360" w:lineRule="auto"/>
        <w:jc w:val="both"/>
        <w:rPr>
          <w:rFonts w:ascii="Garamond" w:hAnsi="Garamond"/>
          <w:b/>
          <w:bCs/>
          <w:lang w:val="id-ID"/>
        </w:rPr>
      </w:pPr>
      <w:r w:rsidRPr="006416A7">
        <w:rPr>
          <w:rFonts w:ascii="Garamond" w:hAnsi="Garamond"/>
          <w:b/>
          <w:bCs/>
          <w:lang w:val="id-ID"/>
        </w:rPr>
        <w:t>Konsep Teks Dan Konteks Dalam Filsafat</w:t>
      </w:r>
    </w:p>
    <w:p w:rsidR="00F94462" w:rsidRPr="006416A7" w:rsidRDefault="006416A7" w:rsidP="006416A7">
      <w:pPr>
        <w:spacing w:after="0" w:line="360" w:lineRule="auto"/>
        <w:ind w:firstLine="720"/>
        <w:jc w:val="both"/>
        <w:rPr>
          <w:rFonts w:ascii="Garamond" w:hAnsi="Garamond"/>
          <w:lang w:val="id-ID"/>
        </w:rPr>
      </w:pPr>
      <w:r w:rsidRPr="006416A7">
        <w:rPr>
          <w:rFonts w:ascii="Garamond" w:hAnsi="Garamond"/>
          <w:lang w:val="id-ID"/>
        </w:rPr>
        <w:t>Dalam Tradisi Filsafat, Pemikiran Para Filsuf Besar Selalu Tercermin Melalui Teks-Teks Mereka Yang Mengandung Ide-Ide Mendalam Dan Kompleks. Untuk Memahami Teks-Teks Tersebut Secara Utuh, Tidak Cukup Hanya Dengan Memerhatikan Kata-Kata Yang Tertulis, Tetapi Juga Penting Untuk Menelaah Konteks Di Mana Teks Itu Ditulis. Konteks Ini Mencakup Latar Belakang Sosial, Budaya, Sejarah, Dan Biografi Pribadi Seorang Filsuf, Yang Semuanya Saling Terkait Dan Mempengaruhi Makna Serta Interpretasi Dari Teks-Teks Tersebut. Dalam Tradisi Filsafat Timur, Hal Ini Juga Berlaku, Dengan Teks-Teks Yang Sering Kali Mencerminkan Nilai-Nilai Spiritual Dan Sosial Yang Sangat Spesifik Dari Budaya Dan Masyarakat Pada Masa Itu.</w:t>
      </w:r>
    </w:p>
    <w:p w:rsidR="00F94462" w:rsidRPr="006416A7" w:rsidRDefault="006416A7" w:rsidP="006416A7">
      <w:pPr>
        <w:spacing w:after="0" w:line="360" w:lineRule="auto"/>
        <w:ind w:firstLine="720"/>
        <w:jc w:val="both"/>
        <w:rPr>
          <w:rFonts w:ascii="Garamond" w:hAnsi="Garamond"/>
          <w:lang w:val="id-ID"/>
        </w:rPr>
      </w:pPr>
      <w:r w:rsidRPr="006416A7">
        <w:rPr>
          <w:rFonts w:ascii="Garamond" w:hAnsi="Garamond"/>
          <w:lang w:val="id-ID"/>
        </w:rPr>
        <w:t xml:space="preserve">Sebagai Contoh, Dalam Tradisi Filsafat Islam, Pemikiran Para Filsuf Seperti Al-Farabi, Ibn Sina, Dan Ibn Arabi Tercermin Dalam Teks-Teks Mereka Yang Tidak Hanya Mengandung Argumen Rasional, Tetapi Juga Dimensi Teologis Yang Mendalam. Teks-Teks Seperti </w:t>
      </w:r>
      <w:r w:rsidRPr="006416A7">
        <w:rPr>
          <w:rFonts w:ascii="Garamond" w:hAnsi="Garamond"/>
          <w:i/>
          <w:iCs/>
          <w:lang w:val="id-ID"/>
        </w:rPr>
        <w:t>The Incoherence Of The Philosophers</w:t>
      </w:r>
      <w:r w:rsidRPr="006416A7">
        <w:rPr>
          <w:rFonts w:ascii="Garamond" w:hAnsi="Garamond"/>
          <w:lang w:val="id-ID"/>
        </w:rPr>
        <w:t xml:space="preserve"> Oleh Al-Ghazali Dan Karya-Karya Ibn Rushd Menggambarkan Ketegangan Antara Rasionalisme Dan Spiritualitas Yang Khas Dalam Konteks Islam Abad Pertengahan. Pemahaman Terhadap Teks-Teks Ini Tidak Dapat Dipisahkan Dari Konteks Sosial Dan Keagamaan Yang Mempengaruhi Cara Pemikirannya Berkembang Dan Diterima Oleh Masyarakat Pada Masa Itu.</w:t>
      </w:r>
      <w:r w:rsidR="00D73689" w:rsidRPr="006416A7">
        <w:rPr>
          <w:rStyle w:val="FootnoteReference"/>
          <w:rFonts w:ascii="Garamond" w:hAnsi="Garamond"/>
          <w:lang w:val="id-ID"/>
        </w:rPr>
        <w:footnoteReference w:id="42"/>
      </w:r>
    </w:p>
    <w:p w:rsidR="00F94462" w:rsidRPr="006416A7" w:rsidRDefault="006416A7" w:rsidP="006416A7">
      <w:pPr>
        <w:spacing w:after="0" w:line="360" w:lineRule="auto"/>
        <w:ind w:firstLine="720"/>
        <w:jc w:val="both"/>
        <w:rPr>
          <w:rFonts w:ascii="Garamond" w:hAnsi="Garamond"/>
          <w:lang w:val="id-ID"/>
        </w:rPr>
      </w:pPr>
      <w:r w:rsidRPr="006416A7">
        <w:rPr>
          <w:rFonts w:ascii="Garamond" w:hAnsi="Garamond"/>
          <w:lang w:val="id-ID"/>
        </w:rPr>
        <w:t xml:space="preserve">Di Sisi Lain, Dalam Tradisi Filsafat Tiongkok, Teks-Teks Seperti Karya-Karya Kong Fuzi (Confucius) Dan Laozi Juga Mengandung Pemikiran Yang Sangat Bergantung Pada Konteks Budaya Dan Sosial Pada Masa Dinasti Zhou. Konsep-Konsep Seperti </w:t>
      </w:r>
      <w:r w:rsidRPr="006416A7">
        <w:rPr>
          <w:rFonts w:ascii="Garamond" w:hAnsi="Garamond"/>
          <w:i/>
          <w:iCs/>
          <w:lang w:val="id-ID"/>
        </w:rPr>
        <w:t>Li</w:t>
      </w:r>
      <w:r w:rsidRPr="006416A7">
        <w:rPr>
          <w:rFonts w:ascii="Garamond" w:hAnsi="Garamond"/>
          <w:lang w:val="id-ID"/>
        </w:rPr>
        <w:t xml:space="preserve"> (Aturan Dan Etika Sosial) Dalam Pemikiran Konfusius Dan </w:t>
      </w:r>
      <w:r w:rsidRPr="006416A7">
        <w:rPr>
          <w:rFonts w:ascii="Garamond" w:hAnsi="Garamond"/>
          <w:i/>
          <w:iCs/>
          <w:lang w:val="id-ID"/>
        </w:rPr>
        <w:t>Dao</w:t>
      </w:r>
      <w:r w:rsidRPr="006416A7">
        <w:rPr>
          <w:rFonts w:ascii="Garamond" w:hAnsi="Garamond"/>
          <w:lang w:val="id-ID"/>
        </w:rPr>
        <w:t xml:space="preserve"> (Jalan Atau Cara Hidup) Dalam Ajaran Taoisme Tidak Dapat Dipahami Sepenuhnya Tanpa Mempertimbangkan Konteks Politik Dan Sosial Tiongkok Kuno.</w:t>
      </w:r>
      <w:r w:rsidR="001F7DC0" w:rsidRPr="006416A7">
        <w:rPr>
          <w:rStyle w:val="FootnoteReference"/>
          <w:rFonts w:ascii="Garamond" w:hAnsi="Garamond"/>
          <w:lang w:val="id-ID"/>
        </w:rPr>
        <w:footnoteReference w:id="43"/>
      </w:r>
      <w:r w:rsidRPr="006416A7">
        <w:rPr>
          <w:rFonts w:ascii="Garamond" w:hAnsi="Garamond"/>
          <w:lang w:val="id-ID"/>
        </w:rPr>
        <w:t xml:space="preserve"> Pemikiran Ini Banyak Dipengaruhi Oleh Krisis Politik Dan Ketegangan Sosial Yang Terjadi Pada Masa Itu, Yang Mengarahkan Filsuf Untuk Mencari Cara-Cara Untuk Memperbaiki Tatanan Masyarakat.</w:t>
      </w:r>
    </w:p>
    <w:p w:rsidR="00F94462" w:rsidRPr="006416A7" w:rsidRDefault="006416A7" w:rsidP="006416A7">
      <w:pPr>
        <w:spacing w:after="0" w:line="360" w:lineRule="auto"/>
        <w:ind w:firstLine="720"/>
        <w:jc w:val="both"/>
        <w:rPr>
          <w:rFonts w:ascii="Garamond" w:hAnsi="Garamond"/>
          <w:lang w:val="id-ID"/>
        </w:rPr>
      </w:pPr>
      <w:r w:rsidRPr="006416A7">
        <w:rPr>
          <w:rFonts w:ascii="Garamond" w:hAnsi="Garamond"/>
          <w:lang w:val="id-ID"/>
        </w:rPr>
        <w:t xml:space="preserve">Teks Filsafat Merujuk Pada Tulisan Yang Memuat Ide-Ide Abstrak Dan Sering Kali Mengandung Argumen Kompleks Yang Memerlukan Pemahaman Mendalam Untuk Menafsirkannya. Teks-Teks Ini Merupakan Hasil Refleksi Panjang Dari Filsuf Mengenai Berbagai Aspek Eksistensi, Moralitas, Realitas, Dan Kebenaran. Seperti Dalam Pemikiran Klasik Barat, Karya René Descartes Dalam </w:t>
      </w:r>
      <w:r w:rsidRPr="006416A7">
        <w:rPr>
          <w:rFonts w:ascii="Garamond" w:hAnsi="Garamond"/>
          <w:i/>
          <w:iCs/>
          <w:lang w:val="id-ID"/>
        </w:rPr>
        <w:t>Meditations On First Philosophy</w:t>
      </w:r>
      <w:r w:rsidRPr="006416A7">
        <w:rPr>
          <w:rFonts w:ascii="Garamond" w:hAnsi="Garamond"/>
          <w:lang w:val="id-ID"/>
        </w:rPr>
        <w:t xml:space="preserve"> Yang Menggali Konsep Dasar Tentang Keraguan Dan Pemikiran Rasional Sebagai Dasar Pengetahuan, Dalam Tradisi Timur Juga Terdapat Teks-Teks Yang Membahas Konsep-Konsep Dasar Seperti Moralitas, Pemerintahan Yang Ideal, Dan Pencapaian Pencerahan Spiritual, Yang Hanya Dapat Dipahami Dengan Memeriksa Konteks Historis Dan Budaya Masing-Masing.</w:t>
      </w:r>
      <w:r w:rsidR="001F7DC0" w:rsidRPr="006416A7">
        <w:rPr>
          <w:rStyle w:val="FootnoteReference"/>
          <w:rFonts w:ascii="Garamond" w:hAnsi="Garamond"/>
          <w:lang w:val="id-ID"/>
        </w:rPr>
        <w:footnoteReference w:id="44"/>
      </w:r>
    </w:p>
    <w:p w:rsidR="00F94462" w:rsidRPr="006416A7" w:rsidRDefault="006416A7" w:rsidP="006416A7">
      <w:pPr>
        <w:spacing w:after="0" w:line="360" w:lineRule="auto"/>
        <w:ind w:firstLine="720"/>
        <w:jc w:val="both"/>
        <w:rPr>
          <w:rFonts w:ascii="Garamond" w:hAnsi="Garamond"/>
          <w:lang w:val="id-ID"/>
        </w:rPr>
      </w:pPr>
      <w:r w:rsidRPr="006416A7">
        <w:rPr>
          <w:rFonts w:ascii="Garamond" w:hAnsi="Garamond"/>
          <w:lang w:val="id-ID"/>
        </w:rPr>
        <w:t>Menurut Teori Hermeneutika Yang Dikembangkan Oleh Hans-Georg Gadamer, Pemahaman Terhadap Teks Tidak Bisa Dilepaskan Dari Dialog Antara Pembaca Dan Teks Itu Sendiri. Gadamer Berpandangan Bahwa Setiap Pembaca Membawa Serta Latar Belakang Sosial Dan Historis Yang Memengaruhi Cara Mereka Menginterpretasi Teks.</w:t>
      </w:r>
      <w:r w:rsidR="001F7DC0" w:rsidRPr="006416A7">
        <w:rPr>
          <w:rStyle w:val="FootnoteReference"/>
          <w:rFonts w:ascii="Garamond" w:hAnsi="Garamond"/>
          <w:lang w:val="id-ID"/>
        </w:rPr>
        <w:footnoteReference w:id="45"/>
      </w:r>
      <w:r w:rsidRPr="006416A7">
        <w:rPr>
          <w:rFonts w:ascii="Garamond" w:hAnsi="Garamond"/>
          <w:lang w:val="id-ID"/>
        </w:rPr>
        <w:t xml:space="preserve"> Hal Ini Juga Berlaku Dalam Filsafat Timur, Di Mana Pembaca Teks-Teks Klasik Tiongkok Atau Islam Sering Kali Menafsirkan Karya-Karya Tersebut Dengan Memperhitungkan Norma-Norma Sosial Dan Agama Yang Berlaku Pada Waktu Itu.</w:t>
      </w:r>
    </w:p>
    <w:p w:rsidR="007F6AD6" w:rsidRPr="006416A7" w:rsidRDefault="006416A7" w:rsidP="006416A7">
      <w:pPr>
        <w:spacing w:after="0" w:line="360" w:lineRule="auto"/>
        <w:ind w:firstLine="720"/>
        <w:jc w:val="both"/>
        <w:rPr>
          <w:rFonts w:ascii="Garamond" w:hAnsi="Garamond"/>
          <w:lang w:val="id-ID"/>
        </w:rPr>
      </w:pPr>
      <w:r w:rsidRPr="006416A7">
        <w:rPr>
          <w:rFonts w:ascii="Garamond" w:hAnsi="Garamond"/>
          <w:lang w:val="id-ID"/>
        </w:rPr>
        <w:t xml:space="preserve">Teks Filsafat Sering Kali Memiliki Karakteristik Yang Membedakannya Dari Jenis Teks Lainnya, Salah Satunya Adalah Bahasa Yang Berlapis Makna. Bahasa Yang Digunakan Dalam Filsafat Tidak Hanya Bertujuan Untuk Menyampaikan Informasi, Tetapi Juga Untuk Merangsang Pemikiran Kritis Dan Refleksi Mendalam. Dalam Tradisi Filsafat Timur, Teks-Teks Seperti </w:t>
      </w:r>
      <w:r w:rsidRPr="006416A7">
        <w:rPr>
          <w:rFonts w:ascii="Garamond" w:hAnsi="Garamond"/>
          <w:i/>
          <w:iCs/>
          <w:lang w:val="id-ID"/>
        </w:rPr>
        <w:t>Tao Te Ching</w:t>
      </w:r>
      <w:r w:rsidRPr="006416A7">
        <w:rPr>
          <w:rFonts w:ascii="Garamond" w:hAnsi="Garamond"/>
          <w:lang w:val="id-ID"/>
        </w:rPr>
        <w:t xml:space="preserve"> Karya Laozi Atau </w:t>
      </w:r>
      <w:r w:rsidRPr="006416A7">
        <w:rPr>
          <w:rFonts w:ascii="Garamond" w:hAnsi="Garamond"/>
          <w:i/>
          <w:iCs/>
          <w:lang w:val="id-ID"/>
        </w:rPr>
        <w:t>Al-Makamat</w:t>
      </w:r>
      <w:r w:rsidRPr="006416A7">
        <w:rPr>
          <w:rFonts w:ascii="Garamond" w:hAnsi="Garamond"/>
          <w:lang w:val="id-ID"/>
        </w:rPr>
        <w:t xml:space="preserve"> Karya Al-Hariri Juga Menggunakan Simbolisme Dan Metafora Yang Kaya Untuk Mengungkapkan Konsep-Konsep Abstrak Yang Hanya Dapat Dipahami Dalam Konteks Budaya Dan Spiritual Tertentu.</w:t>
      </w:r>
      <w:r w:rsidR="007F6AD6" w:rsidRPr="006416A7">
        <w:rPr>
          <w:rStyle w:val="FootnoteReference"/>
          <w:rFonts w:ascii="Garamond" w:hAnsi="Garamond"/>
          <w:lang w:val="id-ID"/>
        </w:rPr>
        <w:footnoteReference w:id="46"/>
      </w:r>
    </w:p>
    <w:p w:rsidR="00F94462" w:rsidRPr="006416A7" w:rsidRDefault="006416A7" w:rsidP="006416A7">
      <w:pPr>
        <w:spacing w:after="0" w:line="360" w:lineRule="auto"/>
        <w:ind w:firstLine="720"/>
        <w:jc w:val="both"/>
        <w:rPr>
          <w:rFonts w:ascii="Garamond" w:hAnsi="Garamond"/>
          <w:lang w:val="id-ID"/>
        </w:rPr>
      </w:pPr>
      <w:r w:rsidRPr="006416A7">
        <w:rPr>
          <w:rFonts w:ascii="Garamond" w:hAnsi="Garamond"/>
          <w:lang w:val="id-ID"/>
        </w:rPr>
        <w:t xml:space="preserve">Sebagai Contoh, Dalam Filsafat Islam, Teks-Teks Seperti Karya Ibn Sina Yang Membahas Hubungan Antara Filsafat Dan Agama Seringkali Mengandung Lapisan-Lapisan Makna Yang Hanya Dapat Dipahami Dengan Pengetahuan Tentang Teologi Islam. Hal Ini Serupa Dengan Bagaimana Teks-Teks Filsafat Barat, Seperti Karya-Karya Kant Dalam </w:t>
      </w:r>
      <w:r w:rsidRPr="006416A7">
        <w:rPr>
          <w:rFonts w:ascii="Garamond" w:hAnsi="Garamond"/>
          <w:i/>
          <w:iCs/>
          <w:lang w:val="id-ID"/>
        </w:rPr>
        <w:t>Critique Of Pure Reason</w:t>
      </w:r>
      <w:r w:rsidRPr="006416A7">
        <w:rPr>
          <w:rFonts w:ascii="Garamond" w:hAnsi="Garamond"/>
          <w:lang w:val="id-ID"/>
        </w:rPr>
        <w:t>, Menggunakan Bahasa Teknis Yang Hanya Dapat Dipahami Jika Dibaca Dalam Konteks Sejarah Dan Teori Filsafat Yang Lebih Luas.</w:t>
      </w:r>
      <w:r w:rsidR="007F6AD6" w:rsidRPr="006416A7">
        <w:rPr>
          <w:rStyle w:val="FootnoteReference"/>
          <w:rFonts w:ascii="Garamond" w:hAnsi="Garamond"/>
          <w:lang w:val="id-ID"/>
        </w:rPr>
        <w:footnoteReference w:id="47"/>
      </w:r>
    </w:p>
    <w:p w:rsidR="00F94462" w:rsidRPr="006416A7" w:rsidRDefault="006416A7" w:rsidP="006416A7">
      <w:pPr>
        <w:spacing w:after="0" w:line="360" w:lineRule="auto"/>
        <w:ind w:firstLine="720"/>
        <w:jc w:val="both"/>
        <w:rPr>
          <w:rFonts w:ascii="Garamond" w:hAnsi="Garamond"/>
          <w:lang w:val="id-ID"/>
        </w:rPr>
      </w:pPr>
      <w:r w:rsidRPr="006416A7">
        <w:rPr>
          <w:rFonts w:ascii="Garamond" w:hAnsi="Garamond"/>
          <w:lang w:val="id-ID"/>
        </w:rPr>
        <w:t>Seiring Dengan Berjalannya Waktu, Teks-Teks Filsafat Dapat Mengalami Perubahan Dalam Interpretasi Tergantung Pada Konteks Sosial Dan Budaya Yang Mengelilinginya. Sebagai Contoh, Karya-Karya Filsuf Seperti John Locke Dan Jean-Jacques Rousseau, Yang Berfokus Pada Kebebasan Individu Dan Hak Asasi Manusia, Memiliki Relevansi Yang Berbeda Dalam Konteks Sosial-Politik Eropa Pada Abad 17 Dan 18 Dibandingkan Dengan Konteks Sosial-Politik Di Dunia Timur Yang Lebih Beragam. Begitu Pula Dengan Pemikiran-Pemikiran Besar Dalam Filsafat Islam Yang Berkembang Melalui Dialog Dengan Pemikiran Barat Pada Masa Modern, Yang Mengarah Pada Pembentukan Aliran-Aliran Baru Dalam Pemikiran Filsafat Islam Kontemporer.</w:t>
      </w:r>
      <w:r w:rsidR="007F6AD6" w:rsidRPr="006416A7">
        <w:rPr>
          <w:rStyle w:val="FootnoteReference"/>
          <w:rFonts w:ascii="Garamond" w:hAnsi="Garamond"/>
          <w:lang w:val="id-ID"/>
        </w:rPr>
        <w:footnoteReference w:id="48"/>
      </w:r>
    </w:p>
    <w:p w:rsidR="00343818" w:rsidRPr="00096D9C" w:rsidRDefault="006416A7" w:rsidP="00096D9C">
      <w:pPr>
        <w:spacing w:after="0" w:line="360" w:lineRule="auto"/>
        <w:ind w:firstLine="720"/>
        <w:jc w:val="both"/>
        <w:rPr>
          <w:rFonts w:ascii="Garamond" w:hAnsi="Garamond"/>
          <w:lang w:val="en-US"/>
        </w:rPr>
      </w:pPr>
      <w:r w:rsidRPr="006416A7">
        <w:rPr>
          <w:rFonts w:ascii="Garamond" w:hAnsi="Garamond"/>
          <w:lang w:val="id-ID"/>
        </w:rPr>
        <w:t>Teks Filsafat Dapat Dianggap Sebagai Jembatan Yang Menghubungkan Masa Lalu Dengan Masa Kini, Antara Pembaca Dan Penulis, Serta Antara Budaya Dan Masyarakat Yang Berbeda. Konteks Sosial, Budaya, Sejarah, Dan Biografis Sangat Mempengaruhi Cara Teks-Teks Filsafat Ini Dipahami Dan Diterima, Baik Di Dunia Barat Maupun Timur. Pemahaman Ini Membuka Peluang Untuk Melihat Perkembangan Pemikiran Filsafat Yang Lebih Inklusif, Yang Mencakup Beragam Tradisi Intelektual Dari Berbagai Belahan Dunia.</w:t>
      </w:r>
    </w:p>
    <w:p w:rsidR="001108E3" w:rsidRPr="006416A7" w:rsidRDefault="006416A7" w:rsidP="006416A7">
      <w:pPr>
        <w:spacing w:after="0" w:line="360" w:lineRule="auto"/>
        <w:jc w:val="both"/>
        <w:rPr>
          <w:rFonts w:ascii="Garamond" w:hAnsi="Garamond"/>
          <w:b/>
          <w:bCs/>
          <w:lang w:val="id-ID"/>
        </w:rPr>
      </w:pPr>
      <w:r w:rsidRPr="006416A7">
        <w:rPr>
          <w:rFonts w:ascii="Garamond" w:hAnsi="Garamond"/>
          <w:b/>
          <w:bCs/>
          <w:lang w:val="id-ID"/>
        </w:rPr>
        <w:t>Interaksi Antara Teks Dan Konteks Dalam Penafsiran Filsafat (Timur Dan Barat)</w:t>
      </w:r>
    </w:p>
    <w:p w:rsidR="00A1511E" w:rsidRPr="006416A7" w:rsidRDefault="006416A7" w:rsidP="006416A7">
      <w:pPr>
        <w:spacing w:after="0" w:line="360" w:lineRule="auto"/>
        <w:ind w:firstLine="720"/>
        <w:jc w:val="both"/>
        <w:rPr>
          <w:rFonts w:ascii="Garamond" w:hAnsi="Garamond"/>
          <w:lang w:val="id-ID"/>
        </w:rPr>
      </w:pPr>
      <w:r w:rsidRPr="006416A7">
        <w:rPr>
          <w:rFonts w:ascii="Garamond" w:hAnsi="Garamond"/>
          <w:lang w:val="id-ID"/>
        </w:rPr>
        <w:t>Penafsiran Terhadap Teks Filsafat, Baik Dalam Tradisi Barat Maupun Timur, Tidak Bisa Lepas Dari Konteks Di Mana Teks Tersebut Muncul Dan Diinterpretasikan. Teks-Teks Filsafat Yang Ditulis Dalam Periode Tertentu Mengandung Lapisan Makna Yang Sangat Dipengaruhi Oleh Kondisi Sosial, Politik, Budaya, Dan Historis Pada Saat Penulisannya. Di Sisi Lain, Konteks Pembaca Baik Secara Historis, Sosial, Dan Intelektual Juga Sangat Menentukan Bagaimana Teks Tersebut Dipahami Dan Diinterpretasikan.</w:t>
      </w:r>
    </w:p>
    <w:p w:rsidR="00EC0BD5" w:rsidRPr="006416A7" w:rsidRDefault="006416A7" w:rsidP="006416A7">
      <w:pPr>
        <w:spacing w:after="0" w:line="360" w:lineRule="auto"/>
        <w:ind w:firstLine="720"/>
        <w:jc w:val="both"/>
        <w:rPr>
          <w:rFonts w:ascii="Garamond" w:hAnsi="Garamond"/>
          <w:lang w:val="id-ID"/>
        </w:rPr>
      </w:pPr>
      <w:r w:rsidRPr="006416A7">
        <w:rPr>
          <w:rFonts w:ascii="Garamond" w:hAnsi="Garamond"/>
          <w:lang w:val="id-ID"/>
        </w:rPr>
        <w:t xml:space="preserve">Dalam Dunia Filsafat, Konteks Historis, Sosial, Budaya, Dan Biografis Sangat Mempengaruhi Penafsiran Terhadap Sebuah Teks. Konteks Ini Bisa Mencakup Waktu Dan Tempat Teks Itu Ditulis, Kondisi Politik Dan Sosial Yang Melingkupi Saat Itu, Serta Latar Belakang Pribadi Penulis Dan Pembaca. Di Barat, Misalnya, Pemikiran Immanuel Kant Dalam </w:t>
      </w:r>
      <w:r w:rsidRPr="006416A7">
        <w:rPr>
          <w:rFonts w:ascii="Garamond" w:hAnsi="Garamond"/>
          <w:i/>
          <w:iCs/>
          <w:lang w:val="id-ID"/>
        </w:rPr>
        <w:t>Kritik Terhadap Akal Murni</w:t>
      </w:r>
      <w:r w:rsidRPr="006416A7">
        <w:rPr>
          <w:rFonts w:ascii="Garamond" w:hAnsi="Garamond"/>
          <w:lang w:val="id-ID"/>
        </w:rPr>
        <w:t xml:space="preserve"> Adalah Respons Terhadap Pemikiran Teologi Dan Otoritas Gereja Pada Era Pencerahan. Pemikiran Ini Menantang Dogma Dan Menyuarakan Kebebasan Berpikir Serta Rasionalitas, Sangat Terkait Dengan Konteks Sejarah Eropa Yang Bergulat Dengan Otoritas Gereja Dan Monarki Absolut.</w:t>
      </w:r>
      <w:r w:rsidR="0063112B" w:rsidRPr="006416A7">
        <w:rPr>
          <w:rStyle w:val="FootnoteReference"/>
          <w:rFonts w:ascii="Garamond" w:hAnsi="Garamond"/>
          <w:lang w:val="id-ID"/>
        </w:rPr>
        <w:footnoteReference w:id="49"/>
      </w:r>
    </w:p>
    <w:p w:rsidR="00EC0BD5" w:rsidRPr="006416A7" w:rsidRDefault="006416A7" w:rsidP="006416A7">
      <w:pPr>
        <w:spacing w:after="0" w:line="360" w:lineRule="auto"/>
        <w:ind w:firstLine="720"/>
        <w:jc w:val="both"/>
        <w:rPr>
          <w:rFonts w:ascii="Garamond" w:hAnsi="Garamond"/>
          <w:lang w:val="id-ID"/>
        </w:rPr>
      </w:pPr>
      <w:r w:rsidRPr="006416A7">
        <w:rPr>
          <w:rFonts w:ascii="Garamond" w:hAnsi="Garamond"/>
          <w:lang w:val="id-ID"/>
        </w:rPr>
        <w:t>Namun, Dalam Tradisi Filsafat Timur, Khususnya Dalam Filsafat Islam Dan Filsafat Hindu-Buddha, Penafsiran Terhadap Teks Juga Sangat Bergantung Pada Konteks Spiritual Dan Religius Yang Membentuk Kehidupan Intelektual Mereka. Al-Farabi, Ibnu Sina, Dan Ibnu Rusyd Di Dunia Islam, Misalnya, Menggabungkan Ajaran Rasional Dengan Wahyu Agama, Dan Ini Sangat Dipengaruhi Oleh Konteks Teologi Islam.</w:t>
      </w:r>
      <w:r w:rsidR="0063112B" w:rsidRPr="006416A7">
        <w:rPr>
          <w:rStyle w:val="FootnoteReference"/>
          <w:rFonts w:ascii="Garamond" w:hAnsi="Garamond"/>
          <w:lang w:val="id-ID"/>
        </w:rPr>
        <w:footnoteReference w:id="50"/>
      </w:r>
      <w:r w:rsidRPr="006416A7">
        <w:rPr>
          <w:rFonts w:ascii="Garamond" w:hAnsi="Garamond"/>
          <w:lang w:val="id-ID"/>
        </w:rPr>
        <w:t xml:space="preserve"> Dalam Hal Ini, Teks Filsafat Dipandang Sebagai Cara Untuk Memahami Ilahi Dan Alam Semesta, Yang Seringkali Diinterpretasikan Dalam Kerangka Hukum Tuhan Dan Pencerahan Spiritual.</w:t>
      </w:r>
    </w:p>
    <w:p w:rsidR="00EC0BD5" w:rsidRPr="006416A7" w:rsidRDefault="006416A7" w:rsidP="006416A7">
      <w:pPr>
        <w:spacing w:after="0" w:line="360" w:lineRule="auto"/>
        <w:ind w:firstLine="720"/>
        <w:jc w:val="both"/>
        <w:rPr>
          <w:rFonts w:ascii="Garamond" w:hAnsi="Garamond"/>
          <w:lang w:val="id-ID"/>
        </w:rPr>
      </w:pPr>
      <w:r w:rsidRPr="006416A7">
        <w:rPr>
          <w:rFonts w:ascii="Garamond" w:hAnsi="Garamond"/>
          <w:lang w:val="id-ID"/>
        </w:rPr>
        <w:t>Sebagai Contoh Lain, Dalam Filsafat Hindu, Upanishad Mengandung Pengetahuan Yang Bukan Hanya Ditafsirkan Secara Rasional, Tetapi Juga Secara Spiritual Dan Batin. Proses Pemahaman Teks-Teks Suci Dalam Hindu Sangat Bergantung Pada Konteks Individu Yang Melakukan Praktik Meditatif, Di Mana Interpretasi Pribadi Tentang Dunia Dan Eksistensi Adalah Yang Paling Menentukan. Konsep Republik Oleh Plato Adalah Teks Yang Sangat Dipengaruhi Oleh Kondisi Sosial Dan Politik Yunani Kuno, Di Mana Ia Mengusulkan Sebuah Negara Ideal Yang Didasarkan Pada Teori Bentuk (Forms) Dan Kesempurnaan Moral Yang Dicapai Melalui Rasio.</w:t>
      </w:r>
      <w:r w:rsidR="005964BC" w:rsidRPr="006416A7">
        <w:rPr>
          <w:rStyle w:val="FootnoteReference"/>
          <w:rFonts w:ascii="Garamond" w:hAnsi="Garamond"/>
          <w:lang w:val="id-ID"/>
        </w:rPr>
        <w:footnoteReference w:id="51"/>
      </w:r>
      <w:r w:rsidRPr="006416A7">
        <w:rPr>
          <w:rFonts w:ascii="Garamond" w:hAnsi="Garamond"/>
          <w:lang w:val="id-ID"/>
        </w:rPr>
        <w:t xml:space="preserve"> Dalam Konteks Dunia Barat Modern, Penafsiran Terhadap Karya Ini Sering Kali Berfokus Pada Masalah Keadilan, Hak Asasi Manusia, Dan Demokrasi.</w:t>
      </w:r>
    </w:p>
    <w:p w:rsidR="00EC0BD5" w:rsidRPr="006416A7" w:rsidRDefault="006416A7" w:rsidP="006416A7">
      <w:pPr>
        <w:spacing w:after="0" w:line="360" w:lineRule="auto"/>
        <w:ind w:firstLine="720"/>
        <w:jc w:val="both"/>
        <w:rPr>
          <w:rFonts w:ascii="Garamond" w:hAnsi="Garamond"/>
          <w:lang w:val="id-ID"/>
        </w:rPr>
      </w:pPr>
      <w:r w:rsidRPr="006416A7">
        <w:rPr>
          <w:rFonts w:ascii="Garamond" w:hAnsi="Garamond"/>
          <w:lang w:val="id-ID"/>
        </w:rPr>
        <w:t>Namun, Dalam Dunia Timur, Khususnya Dalam Tradisi Filsafat Islam, Al-Farabi Menafsirkan Konsep-Konsep Plato Tentang Negara Ideal Ini Dengan Cara Yang Menggabungkan Prinsip-Prinsip Ajaran Agama Dan Rasionalitas. Bagi Al-Farabi, Negara Yang Ideal Adalah Negara Yang Dipimpin Oleh Seorang Filsuf-Pemimpin, Yang Tidak Hanya Memahami Prinsip-Prinsip Politik Tetapi Juga Memiliki Pencerahan Spiritual. Konteks Sosial Islam Yang Memandang Wahyu Sebagai Sumber Utama Kebenaran Membawa Interpretasi Yang Berbeda Terhadap Teks Plato.</w:t>
      </w:r>
    </w:p>
    <w:p w:rsidR="00EC0BD5" w:rsidRPr="006416A7" w:rsidRDefault="006416A7" w:rsidP="006416A7">
      <w:pPr>
        <w:spacing w:after="0" w:line="360" w:lineRule="auto"/>
        <w:ind w:firstLine="720"/>
        <w:jc w:val="both"/>
        <w:rPr>
          <w:rFonts w:ascii="Garamond" w:hAnsi="Garamond"/>
          <w:lang w:val="id-ID"/>
        </w:rPr>
      </w:pPr>
      <w:r w:rsidRPr="006416A7">
        <w:rPr>
          <w:rFonts w:ascii="Garamond" w:hAnsi="Garamond"/>
          <w:lang w:val="id-ID"/>
        </w:rPr>
        <w:t>Pemikiran Immanuel Kant, Khususnya Dalam Kritik Terhadap Akal Murni, Memunculkan Gagasan Tentang Batasan Pengetahuan Manusia Dan Pentingnya Kebebasan Berpikir. Dalam Konteks Eropa Yang Sedang Menuju Modernitas, Teks Ini Dipahami Sebagai Bagian Dari Gerakan Yang Menantang Otoritas Gereja Dan Menyuarakan Kebebasan Rasional.</w:t>
      </w:r>
      <w:r w:rsidR="005964BC" w:rsidRPr="006416A7">
        <w:rPr>
          <w:rStyle w:val="FootnoteReference"/>
          <w:rFonts w:ascii="Garamond" w:hAnsi="Garamond"/>
          <w:lang w:val="id-ID"/>
        </w:rPr>
        <w:footnoteReference w:id="52"/>
      </w:r>
    </w:p>
    <w:p w:rsidR="00EC0BD5" w:rsidRPr="006416A7" w:rsidRDefault="006416A7" w:rsidP="006416A7">
      <w:pPr>
        <w:spacing w:after="0" w:line="360" w:lineRule="auto"/>
        <w:ind w:firstLine="720"/>
        <w:jc w:val="both"/>
        <w:rPr>
          <w:rFonts w:ascii="Garamond" w:hAnsi="Garamond"/>
          <w:lang w:val="id-ID"/>
        </w:rPr>
      </w:pPr>
      <w:r w:rsidRPr="006416A7">
        <w:rPr>
          <w:rFonts w:ascii="Garamond" w:hAnsi="Garamond"/>
          <w:lang w:val="id-ID"/>
        </w:rPr>
        <w:t>Sebaliknya, Dalam Filsafat Islam Kontemporer, Pemikiran Seperti Itu Sering Berinteraksi Dengan Ajaran Agama Yang Lebih Konservatif, Di Mana Rasio Tidak Selalu Dapat Digunakan Untuk Memahami Segala Sesuatu, Terutama Yang Berhubungan Dengan Wahyu Dan Hukum Agama. Filsuf Muslim Kontemporer, Seperti Muhammad Iqbal Dan Sayyid Qutb, Sering Kali Mengkritik Pandangan Rasionalistik Barat Yang Memisahkan Agama Dan Akal, Dan Lebih Menekankan Hubungan Yang Harmoni Antara Wahyu Dan Rasionalitas.</w:t>
      </w:r>
      <w:r w:rsidR="005964BC" w:rsidRPr="006416A7">
        <w:rPr>
          <w:rStyle w:val="FootnoteReference"/>
          <w:rFonts w:ascii="Garamond" w:hAnsi="Garamond"/>
          <w:lang w:val="id-ID"/>
        </w:rPr>
        <w:footnoteReference w:id="53"/>
      </w:r>
    </w:p>
    <w:p w:rsidR="00EC0BD5" w:rsidRPr="006416A7" w:rsidRDefault="006416A7" w:rsidP="006416A7">
      <w:pPr>
        <w:spacing w:after="0" w:line="360" w:lineRule="auto"/>
        <w:ind w:firstLine="720"/>
        <w:jc w:val="both"/>
        <w:rPr>
          <w:rFonts w:ascii="Garamond" w:hAnsi="Garamond"/>
          <w:lang w:val="id-ID"/>
        </w:rPr>
      </w:pPr>
      <w:r w:rsidRPr="006416A7">
        <w:rPr>
          <w:rFonts w:ascii="Garamond" w:hAnsi="Garamond"/>
          <w:lang w:val="id-ID"/>
        </w:rPr>
        <w:t>Penafsiran Terhadap Teks Filsafat Yang Sama, Baik Di Dunia Barat Maupun Timur, Telah Melahirkan Keragaman Mazhab Filsafat Yang Sangat Khas. Di Barat, Pemikiran Descartes Tentang Rasio Dan Cogito Ergo Sum Melahirkan Dua Mazhab Besar Dalam Filsafat Eropa: Rasionalisme Dan Empirisme. Di Sisi Lain, Eksistensialisme Yang Berkembang Setelah Perang Dunia Ii Sangat Dipengaruhi Oleh Kondisi Sosial Dan Moral Yang Hancur Di Eropa, Memunculkan Pertanyaan Tentang Kebebasan Individu Dan Pencarian Makna Hidup.</w:t>
      </w:r>
    </w:p>
    <w:p w:rsidR="00A1511E" w:rsidRPr="006416A7" w:rsidRDefault="006416A7" w:rsidP="006416A7">
      <w:pPr>
        <w:spacing w:after="0" w:line="360" w:lineRule="auto"/>
        <w:ind w:firstLine="720"/>
        <w:jc w:val="both"/>
        <w:rPr>
          <w:rFonts w:ascii="Garamond" w:hAnsi="Garamond"/>
          <w:lang w:val="id-ID"/>
        </w:rPr>
      </w:pPr>
      <w:r w:rsidRPr="006416A7">
        <w:rPr>
          <w:rFonts w:ascii="Garamond" w:hAnsi="Garamond"/>
          <w:lang w:val="id-ID"/>
        </w:rPr>
        <w:t>Di Dunia Timur, Khususnya Dalam Tradisi Islam, Rasionalisme Yang Berkembang Dari Filsuf Al-Farabi Dan Ibnu Sina Sering Berfokus Pada Hubungan Antara Akal Dan Wahyu. Filsuf-Filsuf Ini Berusaha Menemukan Cara Untuk Menyatukan Filsafat Yunani Dengan Ajaran Islam, Seringkali Menekankan Pentingnya Pengetahuan Yang Diperoleh Melalui Proses Intelektual Dan Spiritual. Di Sisi Lain, Filsafat Tasawuf (Sufisme), Yang Dipengaruhi Oleh Teks-Teks Mistis, Lebih Mengarah Pada Pencarian Makna Hidup Melalui Pengalaman Batin Dan Hubungan Langsung Dengan Tuhan.</w:t>
      </w:r>
    </w:p>
    <w:p w:rsidR="00A1511E" w:rsidRPr="006416A7" w:rsidRDefault="006416A7" w:rsidP="00096D9C">
      <w:pPr>
        <w:spacing w:before="240" w:after="0" w:line="360" w:lineRule="auto"/>
        <w:jc w:val="both"/>
        <w:rPr>
          <w:rFonts w:ascii="Garamond" w:hAnsi="Garamond"/>
          <w:lang w:val="id-ID"/>
        </w:rPr>
      </w:pPr>
      <w:r w:rsidRPr="006416A7">
        <w:rPr>
          <w:rFonts w:ascii="Garamond" w:hAnsi="Garamond"/>
          <w:b/>
          <w:bCs/>
          <w:lang w:val="id-ID"/>
        </w:rPr>
        <w:t>Mazhab Filsafat Dan Pengaruh Teks Serta Konteks Dalam Filsafat Timur</w:t>
      </w:r>
    </w:p>
    <w:p w:rsidR="00A1511E" w:rsidRPr="006416A7" w:rsidRDefault="006416A7" w:rsidP="006416A7">
      <w:pPr>
        <w:spacing w:after="0" w:line="360" w:lineRule="auto"/>
        <w:ind w:firstLine="720"/>
        <w:jc w:val="both"/>
        <w:rPr>
          <w:rFonts w:ascii="Garamond" w:hAnsi="Garamond"/>
          <w:lang w:val="id-ID"/>
        </w:rPr>
      </w:pPr>
      <w:r w:rsidRPr="006416A7">
        <w:rPr>
          <w:rFonts w:ascii="Garamond" w:hAnsi="Garamond"/>
          <w:lang w:val="id-ID"/>
        </w:rPr>
        <w:t>Filsafat Adalah Disiplin Ilmu Yang Dinamis, Selalu Berkembang Seiring Waktu, Dan Mencerminkan Perubahan Dalam Konteks Sosial, Politik, Dan Intelektual. Salah Satu Hal Yang Paling Menarik Dalam Studi Filsafat Adalah Munculnya Berbagai Mazhab Filsafat, Yang Sering Kali Terwujud Sebagai Hasil Dari Perbedaan Penafsiran Terhadap Teks-Teks Klasik Dalam Konteks Yang Berbeda. Menurut Soleh, Mazhab Filsafat Tidak Hanya Mencerminkan Pandangan Dunia Yang Berbeda, Tetapi Juga Menjadi Respons Terhadap Perubahan Zaman, Perdebatan Intelektual, Dan Pertanyaan-Pertanyaan Besar Yang Dihadapi Oleh Masyarakat.</w:t>
      </w:r>
      <w:r w:rsidR="0035367B" w:rsidRPr="006416A7">
        <w:rPr>
          <w:rStyle w:val="FootnoteReference"/>
          <w:rFonts w:ascii="Garamond" w:hAnsi="Garamond"/>
          <w:lang w:val="id-ID"/>
        </w:rPr>
        <w:footnoteReference w:id="54"/>
      </w:r>
      <w:r w:rsidRPr="006416A7">
        <w:rPr>
          <w:rFonts w:ascii="Garamond" w:hAnsi="Garamond"/>
          <w:lang w:val="id-ID"/>
        </w:rPr>
        <w:t xml:space="preserve"> Vsecara Etimologis, Mazhab Filsafat Dapat Dipahami Sebagai Sebuah Aliran Atau Paham Tertentu Dalam Filsafat Yang Muncul Akibat Perbedaan Dalam Cara Menafsirkan Dan Memahami Teks-Teks Filsafat Tertentu. </w:t>
      </w:r>
    </w:p>
    <w:p w:rsidR="00F03BB7" w:rsidRPr="006416A7" w:rsidRDefault="006416A7" w:rsidP="006416A7">
      <w:pPr>
        <w:spacing w:after="0" w:line="360" w:lineRule="auto"/>
        <w:ind w:firstLine="720"/>
        <w:jc w:val="both"/>
        <w:rPr>
          <w:rFonts w:ascii="Garamond" w:hAnsi="Garamond"/>
          <w:lang w:val="id-ID"/>
        </w:rPr>
      </w:pPr>
      <w:r w:rsidRPr="006416A7">
        <w:rPr>
          <w:rFonts w:ascii="Garamond" w:hAnsi="Garamond"/>
          <w:lang w:val="id-ID"/>
        </w:rPr>
        <w:t>Dalam Filsafat Timur, Khususnya Dalam Tradisi Islam, Memiliki Kedalaman Dan Keberagaman Yang Kaya, Yang Juga Dipengaruhi Oleh Teks-Teks Klasik Serta Konteks Budaya Dan Sejarah Yang Melingkupinya. Di Dunia Filsafat Islam, Perkembangan Mazhab Filsafat Tidak Hanya Dipengaruhi Oleh Teks-Teks Filosofis Yunani Kuno, Yang Diterjemahkan Ke Dalam Bahasa Arab, Tetapi Juga Oleh Konteks Teologi, Hukum, Dan Sosial Yang Ada Dalam Dunia Islam.</w:t>
      </w:r>
    </w:p>
    <w:p w:rsidR="00F03BB7" w:rsidRPr="006416A7" w:rsidRDefault="006416A7" w:rsidP="006416A7">
      <w:pPr>
        <w:spacing w:after="0" w:line="360" w:lineRule="auto"/>
        <w:ind w:firstLine="720"/>
        <w:jc w:val="both"/>
        <w:rPr>
          <w:rFonts w:ascii="Garamond" w:hAnsi="Garamond"/>
          <w:lang w:val="id-ID"/>
        </w:rPr>
      </w:pPr>
      <w:r w:rsidRPr="006416A7">
        <w:rPr>
          <w:rFonts w:ascii="Garamond" w:hAnsi="Garamond"/>
          <w:lang w:val="id-ID"/>
        </w:rPr>
        <w:t>Mazhab Filsafat Dalam Dunia Islam Merujuk Pada Berbagai Aliran Pemikiran Yang Berkembang Di Dunia Islam, Yang Seringkali Berinteraksi Dengan Teks-Teks Agama Dan Keagamaan, Serta Memiliki Pengaruh Yang Sangat Kuat Dari Konteks Sejarah Dan Sosial Umat Islam Itu Sendiri. Sebagaimana Mazhab Filsafat Di Barat, Aliran Filsafat Islam Juga Muncul Sebagai Respons Terhadap Interpretasi Terhadap Teks-Teks Tertentu, Baik Yang Berasal Dari Al-Qur’an, Hadis, Maupun Karya-Karya Filsuf Yunani Yang Diterjemahkan. Dalam Banyak Kasus, Mazhab Ini Mencoba Untuk Menjembatani Antara Agama Dan Akal, Atau Antara Wahyu Dan Rasio.</w:t>
      </w:r>
    </w:p>
    <w:p w:rsidR="00F03BB7" w:rsidRPr="006416A7" w:rsidRDefault="006416A7" w:rsidP="006416A7">
      <w:pPr>
        <w:spacing w:after="0" w:line="360" w:lineRule="auto"/>
        <w:ind w:firstLine="720"/>
        <w:jc w:val="both"/>
        <w:rPr>
          <w:rFonts w:ascii="Garamond" w:hAnsi="Garamond"/>
          <w:lang w:val="id-ID"/>
        </w:rPr>
      </w:pPr>
      <w:r w:rsidRPr="006416A7">
        <w:rPr>
          <w:rFonts w:ascii="Garamond" w:hAnsi="Garamond"/>
          <w:lang w:val="id-ID"/>
        </w:rPr>
        <w:t>Sebagai Contoh, Aliran Filsafat Peripatetik (Falsafah Mashshah) Yang Dipelopori Oleh Al-Farabi, Ibnu Sina (Avicenna), Dan Ibnu Rusyd (Averroes) Mengadaptasi Pemikiran Aristoteles Dan Platonisme Ke Dalam Konteks Islam. Para Filsuf Ini Berusaha Untuk Membuktikan Adanya Hubungan Harmonis Antara Ajaran Islam Dengan Rasionalitas Yang Diwakili Oleh Filsafat Yunani. Dalam Hal Ini, Teks-Teks Yunani Klasik Dibaca Dan Dipahami Dalam Konteks Teologi Islam, Di Mana Kebenaran Rasional Harus Selaras Dengan Prinsip-Prinsip Agama.</w:t>
      </w:r>
      <w:r w:rsidR="00C806E8" w:rsidRPr="006416A7">
        <w:rPr>
          <w:rStyle w:val="FootnoteReference"/>
          <w:rFonts w:ascii="Garamond" w:hAnsi="Garamond"/>
          <w:lang w:val="id-ID"/>
        </w:rPr>
        <w:footnoteReference w:id="55"/>
      </w:r>
    </w:p>
    <w:p w:rsidR="00F03BB7" w:rsidRPr="006416A7" w:rsidRDefault="006416A7" w:rsidP="006416A7">
      <w:pPr>
        <w:spacing w:after="0" w:line="360" w:lineRule="auto"/>
        <w:ind w:firstLine="720"/>
        <w:jc w:val="both"/>
        <w:rPr>
          <w:rFonts w:ascii="Garamond" w:hAnsi="Garamond"/>
          <w:lang w:val="id-ID"/>
        </w:rPr>
      </w:pPr>
      <w:r w:rsidRPr="006416A7">
        <w:rPr>
          <w:rFonts w:ascii="Garamond" w:hAnsi="Garamond"/>
          <w:lang w:val="id-ID"/>
        </w:rPr>
        <w:t xml:space="preserve">Mazhab Peripatetik, Yang Berkembang Pada Abad Pertengahan, Adalah Salah Satu Aliran Penting Dalam Filsafat Islam Yang Sangat Dipengaruhi Oleh Teks-Teks Aristoteles Dan Plato, Serta Karya-Karya Filsuf Yunani Lainnya Yang Diterjemahkan Ke Dalam Bahasa Arab. Pemikir Besar Seperti Al-Farabi, Ibnu Sina, Dan Ibnu Rusyd Berusaha Mengintegrasikan Ajaran Rasional Aristoteles Dengan Ajaran Agama Islam. Sebagai Contoh, Al-Farabi Dalam </w:t>
      </w:r>
      <w:r w:rsidRPr="006416A7">
        <w:rPr>
          <w:rFonts w:ascii="Garamond" w:hAnsi="Garamond"/>
          <w:i/>
          <w:iCs/>
          <w:lang w:val="id-ID"/>
        </w:rPr>
        <w:t>Fusul Al-Madani</w:t>
      </w:r>
      <w:r w:rsidRPr="006416A7">
        <w:rPr>
          <w:rFonts w:ascii="Garamond" w:hAnsi="Garamond"/>
          <w:lang w:val="id-ID"/>
        </w:rPr>
        <w:t xml:space="preserve"> Berusaha Menyatukan Teori Politik Aristotelian Dengan Ajaran Islam, Mengemukakan Bahwa Negara Yang Ideal Adalah Negara Yang Dikelola Oleh Seorang Filsuf Yang Memahami Wahyu Dan Akal.</w:t>
      </w:r>
    </w:p>
    <w:p w:rsidR="00F03BB7" w:rsidRPr="006416A7" w:rsidRDefault="006416A7" w:rsidP="006416A7">
      <w:pPr>
        <w:spacing w:after="0" w:line="360" w:lineRule="auto"/>
        <w:ind w:firstLine="720"/>
        <w:jc w:val="both"/>
        <w:rPr>
          <w:rFonts w:ascii="Garamond" w:hAnsi="Garamond"/>
          <w:lang w:val="id-ID"/>
        </w:rPr>
      </w:pPr>
      <w:r w:rsidRPr="006416A7">
        <w:rPr>
          <w:rFonts w:ascii="Garamond" w:hAnsi="Garamond"/>
          <w:lang w:val="id-ID"/>
        </w:rPr>
        <w:t xml:space="preserve">Ibnu Sina, Dalam Karyanya </w:t>
      </w:r>
      <w:r w:rsidRPr="006416A7">
        <w:rPr>
          <w:rFonts w:ascii="Garamond" w:hAnsi="Garamond"/>
          <w:i/>
          <w:iCs/>
          <w:lang w:val="id-ID"/>
        </w:rPr>
        <w:t>Kitab Al-Shifa</w:t>
      </w:r>
      <w:r w:rsidRPr="006416A7">
        <w:rPr>
          <w:rFonts w:ascii="Garamond" w:hAnsi="Garamond"/>
          <w:lang w:val="id-ID"/>
        </w:rPr>
        <w:t xml:space="preserve"> </w:t>
      </w:r>
      <w:r w:rsidRPr="006416A7">
        <w:rPr>
          <w:rFonts w:ascii="Garamond" w:hAnsi="Garamond"/>
          <w:i/>
          <w:iCs/>
          <w:lang w:val="id-ID"/>
        </w:rPr>
        <w:t>(The Book Of Healing),</w:t>
      </w:r>
      <w:r w:rsidRPr="006416A7">
        <w:rPr>
          <w:rFonts w:ascii="Garamond" w:hAnsi="Garamond"/>
          <w:lang w:val="id-ID"/>
        </w:rPr>
        <w:t xml:space="preserve"> Mengembangkan Teori Metafisika Aristotelian Dan Menggali Konsep-Konsep Seperti Substansi, Eksistensi, Dan Essensi, Sambil Menyesuaikan Dengan Keyakinan Islam Tentang Tuhan Yang Maha Esa. Ibnu Rusyd (Averroes), Sebagai Pengikut Utama Aristoteles Di Dunia Islam, Mengembangkan Pemikiran Rasional Lebih Lanjut Dalam Karya-Karyanya Seperti </w:t>
      </w:r>
      <w:r w:rsidRPr="006416A7">
        <w:rPr>
          <w:rFonts w:ascii="Garamond" w:hAnsi="Garamond"/>
          <w:i/>
          <w:iCs/>
          <w:lang w:val="id-ID"/>
        </w:rPr>
        <w:t>Tahafut Al-Tahafut</w:t>
      </w:r>
      <w:r w:rsidRPr="006416A7">
        <w:rPr>
          <w:rFonts w:ascii="Garamond" w:hAnsi="Garamond"/>
          <w:lang w:val="id-ID"/>
        </w:rPr>
        <w:t xml:space="preserve"> </w:t>
      </w:r>
      <w:r w:rsidRPr="006416A7">
        <w:rPr>
          <w:rFonts w:ascii="Garamond" w:hAnsi="Garamond"/>
          <w:i/>
          <w:iCs/>
          <w:lang w:val="id-ID"/>
        </w:rPr>
        <w:t>(The Incoherence Of The Incoherence),</w:t>
      </w:r>
      <w:r w:rsidRPr="006416A7">
        <w:rPr>
          <w:rFonts w:ascii="Garamond" w:hAnsi="Garamond"/>
          <w:lang w:val="id-ID"/>
        </w:rPr>
        <w:t xml:space="preserve"> Di Mana Ia Membela Filosofi Rasional Terhadap Kritik-Kritik Dari Para Teolog Dan Pemikir Religius.</w:t>
      </w:r>
      <w:r w:rsidR="0035367B" w:rsidRPr="006416A7">
        <w:rPr>
          <w:rStyle w:val="FootnoteReference"/>
          <w:rFonts w:ascii="Garamond" w:hAnsi="Garamond"/>
          <w:lang w:val="id-ID"/>
        </w:rPr>
        <w:footnoteReference w:id="56"/>
      </w:r>
    </w:p>
    <w:p w:rsidR="00F03BB7" w:rsidRPr="006416A7" w:rsidRDefault="006416A7" w:rsidP="006416A7">
      <w:pPr>
        <w:spacing w:after="0" w:line="360" w:lineRule="auto"/>
        <w:ind w:firstLine="720"/>
        <w:jc w:val="both"/>
        <w:rPr>
          <w:rFonts w:ascii="Garamond" w:hAnsi="Garamond"/>
          <w:lang w:val="id-ID"/>
        </w:rPr>
      </w:pPr>
      <w:r w:rsidRPr="006416A7">
        <w:rPr>
          <w:rFonts w:ascii="Garamond" w:hAnsi="Garamond"/>
          <w:lang w:val="id-ID"/>
        </w:rPr>
        <w:t>Mazhab Peripatetik Ini Muncul Sebagai Respons Terhadap Tantangan Intelektual Di Dunia Islam Yang Mencoba Mengharmoniskan Antara Wahyu Dan Rasio, Sehingga Memungkinkan Terciptanya Pemikiran Yang Lebih Sistematis Dan Rasional, Yang Sangat Dipengaruhi Oleh Konteks Pemikiran Ilmiah Dan Filsafat Yunani Pada Masa Itu.</w:t>
      </w:r>
      <w:r w:rsidR="00525F5B" w:rsidRPr="006416A7">
        <w:rPr>
          <w:rStyle w:val="FootnoteReference"/>
          <w:rFonts w:ascii="Garamond" w:hAnsi="Garamond"/>
          <w:lang w:val="id-ID"/>
        </w:rPr>
        <w:footnoteReference w:id="57"/>
      </w:r>
    </w:p>
    <w:p w:rsidR="00525F5B" w:rsidRPr="006416A7" w:rsidRDefault="006416A7" w:rsidP="006416A7">
      <w:pPr>
        <w:spacing w:after="0" w:line="360" w:lineRule="auto"/>
        <w:ind w:firstLine="720"/>
        <w:jc w:val="both"/>
        <w:rPr>
          <w:rFonts w:ascii="Garamond" w:hAnsi="Garamond"/>
          <w:lang w:val="id-ID"/>
        </w:rPr>
      </w:pPr>
      <w:r w:rsidRPr="006416A7">
        <w:rPr>
          <w:rFonts w:ascii="Garamond" w:hAnsi="Garamond"/>
          <w:lang w:val="id-ID"/>
        </w:rPr>
        <w:t>Mazhab Ismailiyah, Cabang Dari Syiah, Dipengaruhi Oleh Neoplatonisme Yang Menggabungkan Ajaran Plato Dan Aristoteles Dengan Pemikiran Mistis. Filsuf Seperti Al-Kindi, Al-Farabi, Dan Ibnu Sina Memengaruhi Pemikiran Ini, Yang Lebih Menekankan Dimensi Metafisik Dan Spiritual. Konsep Intellectual Light (Lau</w:t>
      </w:r>
      <w:r w:rsidRPr="006416A7">
        <w:rPr>
          <w:rFonts w:ascii="Cambria" w:hAnsi="Cambria" w:cs="Cambria"/>
          <w:lang w:val="id-ID"/>
        </w:rPr>
        <w:t>ḥ</w:t>
      </w:r>
      <w:r w:rsidRPr="006416A7">
        <w:rPr>
          <w:rFonts w:ascii="Garamond" w:hAnsi="Garamond"/>
          <w:lang w:val="id-ID"/>
        </w:rPr>
        <w:t xml:space="preserve"> Al-Aql) Dari Neoplatonisme Dipadukan Dengan Ajaran Islam Tentang Cahaya Ilahi. Filsafat Ismailiyah Menganggap Pengetahuan Sejati Sebagai Pemahaman Batin Dan Esoteris Terhadap Teks Agama, Serta Menekankan Pemahaman Mistis Terhadap Agama Dan Kebenaran Dalam Konteks Sosial Dan Politik Pada Masa Itu.</w:t>
      </w:r>
      <w:r w:rsidR="00525F5B" w:rsidRPr="006416A7">
        <w:rPr>
          <w:rStyle w:val="FootnoteReference"/>
          <w:rFonts w:ascii="Garamond" w:hAnsi="Garamond"/>
          <w:lang w:val="id-ID"/>
        </w:rPr>
        <w:footnoteReference w:id="58"/>
      </w:r>
    </w:p>
    <w:p w:rsidR="00F03BB7" w:rsidRPr="006416A7" w:rsidRDefault="006416A7" w:rsidP="006416A7">
      <w:pPr>
        <w:spacing w:after="0" w:line="360" w:lineRule="auto"/>
        <w:ind w:firstLine="720"/>
        <w:jc w:val="both"/>
        <w:rPr>
          <w:rFonts w:ascii="Garamond" w:hAnsi="Garamond"/>
          <w:lang w:val="id-ID"/>
        </w:rPr>
      </w:pPr>
      <w:r w:rsidRPr="006416A7">
        <w:rPr>
          <w:rFonts w:ascii="Garamond" w:hAnsi="Garamond"/>
          <w:lang w:val="id-ID"/>
        </w:rPr>
        <w:t>Kemudian Tasawuf (Sufisme) Merupakan Mazhab Dalam Filsafat Islam Yang Sangat Terpengaruh Oleh Teks-Teks Mistis Dan Batiniyah, Yang Mengajarkan Pencarian Pengetahuan Melalui Pengalaman Langsung Dengan Tuhan. Para Pemikir Besar Seperti Al-Ghazali, Ibn Arabi, Dan Rumi Menekankan Pentingnya Pengalaman Spiritual Dan Pencerahan Batin Dalam Memahami Kebenaran. Dalam Konteks Sosial Dan Budaya Dunia Islam, Tasawuf Muncul Sebagai Respon Terhadap Kemewahan Duniawi Dan Ketegangan Sosial Dalam Masyarakat Islam Pada Masa Itu.</w:t>
      </w:r>
      <w:r w:rsidR="00896187" w:rsidRPr="006416A7">
        <w:rPr>
          <w:rStyle w:val="FootnoteReference"/>
          <w:rFonts w:ascii="Garamond" w:hAnsi="Garamond"/>
          <w:lang w:val="id-ID"/>
        </w:rPr>
        <w:footnoteReference w:id="59"/>
      </w:r>
    </w:p>
    <w:p w:rsidR="00F03BB7" w:rsidRPr="006416A7" w:rsidRDefault="006416A7" w:rsidP="006416A7">
      <w:pPr>
        <w:spacing w:after="0" w:line="360" w:lineRule="auto"/>
        <w:ind w:firstLine="720"/>
        <w:jc w:val="both"/>
        <w:rPr>
          <w:rFonts w:ascii="Garamond" w:hAnsi="Garamond"/>
          <w:lang w:val="id-ID"/>
        </w:rPr>
      </w:pPr>
      <w:r w:rsidRPr="006416A7">
        <w:rPr>
          <w:rFonts w:ascii="Garamond" w:hAnsi="Garamond"/>
          <w:lang w:val="id-ID"/>
        </w:rPr>
        <w:t xml:space="preserve">Al-Ghazali, Dalam Karya Terkenalnya </w:t>
      </w:r>
      <w:r w:rsidRPr="006416A7">
        <w:rPr>
          <w:rFonts w:ascii="Garamond" w:hAnsi="Garamond"/>
          <w:i/>
          <w:iCs/>
          <w:lang w:val="id-ID"/>
        </w:rPr>
        <w:t>Ihya’ Ulum Al-Din</w:t>
      </w:r>
      <w:r w:rsidRPr="006416A7">
        <w:rPr>
          <w:rFonts w:ascii="Garamond" w:hAnsi="Garamond"/>
          <w:lang w:val="id-ID"/>
        </w:rPr>
        <w:t xml:space="preserve"> (Revival Of Religious Sciences), Mengkritik Pengaruh Besar Filsafat Rasionalis Yang Mendominasi Kalangan Intelektual Islam Dan Berargumentasi Bahwa Pencarian Kebenaran Melalui Akal Budi Semata Tidak Akan Membawa Seseorang Pada Pemahaman Yang Mendalam Tentang Tuhan. Ia Menekankan Pentingnya Pencapaian Pengetahuan Melalui Penyucian Hati Dan Pengalaman Langsung.</w:t>
      </w:r>
      <w:r w:rsidR="00896187" w:rsidRPr="006416A7">
        <w:rPr>
          <w:rStyle w:val="FootnoteReference"/>
          <w:rFonts w:ascii="Garamond" w:hAnsi="Garamond"/>
          <w:lang w:val="id-ID"/>
        </w:rPr>
        <w:footnoteReference w:id="60"/>
      </w:r>
    </w:p>
    <w:p w:rsidR="00F03BB7" w:rsidRPr="006416A7" w:rsidRDefault="006416A7" w:rsidP="006416A7">
      <w:pPr>
        <w:spacing w:after="0" w:line="360" w:lineRule="auto"/>
        <w:ind w:firstLine="720"/>
        <w:jc w:val="both"/>
        <w:rPr>
          <w:rFonts w:ascii="Garamond" w:hAnsi="Garamond"/>
          <w:lang w:val="id-ID"/>
        </w:rPr>
      </w:pPr>
      <w:r w:rsidRPr="006416A7">
        <w:rPr>
          <w:rFonts w:ascii="Garamond" w:hAnsi="Garamond"/>
          <w:lang w:val="id-ID"/>
        </w:rPr>
        <w:t>Maulana Dan Arsyi Menjelaskan Bahwa Perkembangan Mazhab Filsafat Dalam Dunia Islam Sangat Dinamis, Dengan Banyaknya Cabang Dan Sub-Aliran Yang Muncul Sepanjang Sejarah. Salah Satu Hal Yang Menarik Adalah Bagaimana Mazhab-Mazhab Ini Terus Beradaptasi Dengan Perubahan Konteks Sosial Dan Politik Yang Terjadi Dalam Dunia Islam. Pada Masa Abbasiyah, Misalnya, Filsafat Islam Berkembang Pesat Seiring Dengan Penerjemahan Teks-Teks Yunani Dan Pengaruh Besar Dari Filsuf-Filsuf Peripatetik. Namun, Seiring Dengan Berkembangnya Periode Mamluk Dan Ottoman, Mazhab-Mazhab Ini Mengalami Pergeseran Dan Ada Banyak Debat Teologis Yang Menantang Cara-Cara Rasional Untuk Memahami Wahyu.</w:t>
      </w:r>
      <w:r w:rsidR="0035367B" w:rsidRPr="006416A7">
        <w:rPr>
          <w:rStyle w:val="FootnoteReference"/>
          <w:rFonts w:ascii="Garamond" w:hAnsi="Garamond"/>
          <w:lang w:val="id-ID"/>
        </w:rPr>
        <w:footnoteReference w:id="61"/>
      </w:r>
    </w:p>
    <w:p w:rsidR="00096D9C" w:rsidRDefault="006416A7" w:rsidP="00096D9C">
      <w:pPr>
        <w:spacing w:after="0" w:line="360" w:lineRule="auto"/>
        <w:ind w:firstLine="720"/>
        <w:jc w:val="both"/>
        <w:rPr>
          <w:rFonts w:ascii="Garamond" w:hAnsi="Garamond"/>
          <w:lang w:val="en-US"/>
        </w:rPr>
      </w:pPr>
      <w:r w:rsidRPr="006416A7">
        <w:rPr>
          <w:rFonts w:ascii="Garamond" w:hAnsi="Garamond"/>
          <w:lang w:val="id-ID"/>
        </w:rPr>
        <w:t>Pada Abad Ke-20, Banyak Filsuf Islam Modern Yang Berusaha Untuk Menyesuaikan Filsafat Dengan Tantangan Zaman, Menggabungkan Prinsip-Prinsip Rasional Dari Pemikiran Barat Dengan Teks-Teks Klasik Islam. Filsuf Seperti Muhammad Iqbal, Sayyid Qutb, Dan Ali Shariati Mencoba Mengembangkan Filsafat Islam Modern Yang Lebih Bersifat Pragmatis, Sosial, Dan Kritis Terhadap Ketimpangan Sosial Dan Politik Yang Ada Di Dunia Islam Kontemporer.</w:t>
      </w:r>
    </w:p>
    <w:p w:rsidR="00AC498A" w:rsidRPr="00096D9C" w:rsidRDefault="00096D9C" w:rsidP="00096D9C">
      <w:pPr>
        <w:spacing w:before="240" w:after="0" w:line="360" w:lineRule="auto"/>
        <w:jc w:val="both"/>
        <w:rPr>
          <w:rFonts w:ascii="Garamond" w:hAnsi="Garamond"/>
          <w:lang w:val="id-ID"/>
        </w:rPr>
      </w:pPr>
      <w:r w:rsidRPr="006416A7">
        <w:rPr>
          <w:rFonts w:ascii="Garamond" w:hAnsi="Garamond"/>
          <w:b/>
          <w:bCs/>
          <w:lang w:val="id-ID"/>
        </w:rPr>
        <w:t>Penutup</w:t>
      </w:r>
    </w:p>
    <w:p w:rsidR="00096D9C" w:rsidRDefault="006416A7" w:rsidP="00096D9C">
      <w:pPr>
        <w:spacing w:after="0" w:line="360" w:lineRule="auto"/>
        <w:ind w:firstLine="720"/>
        <w:jc w:val="both"/>
        <w:rPr>
          <w:rFonts w:ascii="Garamond" w:hAnsi="Garamond"/>
          <w:lang w:val="en-US"/>
        </w:rPr>
      </w:pPr>
      <w:r w:rsidRPr="006416A7">
        <w:rPr>
          <w:rFonts w:ascii="Garamond" w:hAnsi="Garamond"/>
          <w:lang w:val="id-ID"/>
        </w:rPr>
        <w:t>Temuan Dalam Penelitian Ini Menjelaskan Bahwa Peran Teks Dan Konteks Dalam Penafsiran Filsafat Sangat Menentukan Keragaman Mazhab Pemikiran Yang Berkembang Sepanjang Sejarah. Teks Filsafat, Yang Sering Kali Kompleks Dan Sarat Makna, Tidak Hanya Dipengaruhi Oleh Pemikiran Penulisnya, Tetapi Juga Oleh Konteks Sosial, Budaya, Sejarah, Dan Biografis Pada Masa Penulisannya. Konteks Ini Memberikan Ruang Bagi Penafsiran Yang Berbeda Terhadap Teks Yang Sama, Yang Pada Gilirannya Melahirkan Berbagai Mazhab Filsafat, Baik Di Dunia Barat Maupun Timur. Interaksi Antara Teks Dan Konteks Ini Menunjukkan Bagaimana Pemikiran Filsafat Selalu Berkembang, Beradaptasi Dengan Perubahan Zaman, Serta Mencerminkan Keragaman Perspektif Yang Muncul Dalam Merespons Masalah-Masalah Universal Terkait Eksistensi, Pengetahuan, Dan Moralitas. Pemahaman Terhadap Hubungan Dinamis Antara Teks Dan Konteks Memungkinkan Penghargaan Yang Lebih Mendalam Terhadap Kompleksitas Dan Pluralitas Pemikiran Filsafat, Serta Memperlihatkan Bagaimana Mazhab-Mazhab Filsafat Berkembang Sebagai Respons Terhadap Tantangan Sosial Dan Intelektual Pada Setiap Era.</w:t>
      </w:r>
    </w:p>
    <w:p w:rsidR="00586A44" w:rsidRPr="006416A7" w:rsidRDefault="00096D9C" w:rsidP="00096D9C">
      <w:pPr>
        <w:spacing w:before="240" w:after="0" w:line="360" w:lineRule="auto"/>
        <w:rPr>
          <w:rFonts w:ascii="Garamond" w:hAnsi="Garamond"/>
          <w:b/>
          <w:bCs/>
          <w:lang w:val="id-ID"/>
        </w:rPr>
      </w:pPr>
      <w:r w:rsidRPr="006416A7">
        <w:rPr>
          <w:rFonts w:ascii="Garamond" w:hAnsi="Garamond"/>
          <w:b/>
          <w:bCs/>
          <w:lang w:val="id-ID"/>
        </w:rPr>
        <w:t>DAFTAR PUSTAKA</w:t>
      </w:r>
    </w:p>
    <w:p w:rsidR="00525F5B" w:rsidRPr="006416A7" w:rsidRDefault="00071F8A" w:rsidP="006416A7">
      <w:pPr>
        <w:widowControl w:val="0"/>
        <w:autoSpaceDE w:val="0"/>
        <w:autoSpaceDN w:val="0"/>
        <w:adjustRightInd w:val="0"/>
        <w:spacing w:after="0" w:line="360" w:lineRule="auto"/>
        <w:ind w:left="480" w:hanging="480"/>
        <w:jc w:val="both"/>
        <w:rPr>
          <w:rFonts w:ascii="Garamond" w:hAnsi="Garamond" w:cs="Calibri"/>
          <w:noProof/>
          <w:kern w:val="0"/>
          <w:lang w:val="id-ID"/>
        </w:rPr>
      </w:pPr>
      <w:r w:rsidRPr="006416A7">
        <w:rPr>
          <w:rFonts w:ascii="Garamond" w:hAnsi="Garamond"/>
          <w:b/>
          <w:bCs/>
          <w:lang w:val="id-ID"/>
        </w:rPr>
        <w:fldChar w:fldCharType="begin" w:fldLock="1"/>
      </w:r>
      <w:r w:rsidR="00525F5B" w:rsidRPr="006416A7">
        <w:rPr>
          <w:rFonts w:ascii="Garamond" w:hAnsi="Garamond"/>
          <w:b/>
          <w:bCs/>
          <w:lang w:val="id-ID"/>
        </w:rPr>
        <w:instrText xml:space="preserve">ADDIN Mendeley Bibliography CSL_BIBLIOGRAPHY </w:instrText>
      </w:r>
      <w:r w:rsidRPr="006416A7">
        <w:rPr>
          <w:rFonts w:ascii="Garamond" w:hAnsi="Garamond"/>
          <w:b/>
          <w:bCs/>
          <w:lang w:val="id-ID"/>
        </w:rPr>
        <w:fldChar w:fldCharType="separate"/>
      </w:r>
      <w:r w:rsidR="006416A7" w:rsidRPr="006416A7">
        <w:rPr>
          <w:rFonts w:ascii="Garamond" w:hAnsi="Garamond" w:cs="Calibri"/>
          <w:noProof/>
          <w:kern w:val="0"/>
          <w:lang w:val="id-ID"/>
        </w:rPr>
        <w:t xml:space="preserve">Abarca, Roberto Maldonado. “Konsep Filsafat Ilmu Barat.” </w:t>
      </w:r>
      <w:r w:rsidR="006416A7" w:rsidRPr="006416A7">
        <w:rPr>
          <w:rFonts w:ascii="Garamond" w:hAnsi="Garamond" w:cs="Calibri"/>
          <w:i/>
          <w:iCs/>
          <w:noProof/>
          <w:kern w:val="0"/>
          <w:lang w:val="id-ID"/>
        </w:rPr>
        <w:t>Nuevos Sistemas De Comunicación E Información</w:t>
      </w:r>
      <w:r w:rsidR="006416A7" w:rsidRPr="006416A7">
        <w:rPr>
          <w:rFonts w:ascii="Garamond" w:hAnsi="Garamond" w:cs="Calibri"/>
          <w:noProof/>
          <w:kern w:val="0"/>
          <w:lang w:val="id-ID"/>
        </w:rPr>
        <w:t>, 2021, 2013–15.</w:t>
      </w:r>
    </w:p>
    <w:p w:rsidR="00525F5B" w:rsidRPr="006416A7" w:rsidRDefault="006416A7" w:rsidP="006416A7">
      <w:pPr>
        <w:widowControl w:val="0"/>
        <w:autoSpaceDE w:val="0"/>
        <w:autoSpaceDN w:val="0"/>
        <w:adjustRightInd w:val="0"/>
        <w:spacing w:after="0" w:line="360" w:lineRule="auto"/>
        <w:ind w:left="480" w:hanging="480"/>
        <w:jc w:val="both"/>
        <w:rPr>
          <w:rFonts w:ascii="Garamond" w:hAnsi="Garamond" w:cs="Calibri"/>
          <w:noProof/>
          <w:kern w:val="0"/>
          <w:lang w:val="id-ID"/>
        </w:rPr>
      </w:pPr>
      <w:r w:rsidRPr="006416A7">
        <w:rPr>
          <w:rFonts w:ascii="Garamond" w:hAnsi="Garamond" w:cs="Calibri"/>
          <w:noProof/>
          <w:kern w:val="0"/>
          <w:lang w:val="id-ID"/>
        </w:rPr>
        <w:t xml:space="preserve">Abdullah, Faisal, And Hosaini Hosaini. “Positivisme Sebagai Era Baru Filsafat Dan Pengaruhnya Dalam Kajian Sosial Islam.” </w:t>
      </w:r>
      <w:r w:rsidRPr="006416A7">
        <w:rPr>
          <w:rFonts w:ascii="Garamond" w:hAnsi="Garamond" w:cs="Calibri"/>
          <w:i/>
          <w:iCs/>
          <w:noProof/>
          <w:kern w:val="0"/>
          <w:lang w:val="id-ID"/>
        </w:rPr>
        <w:t>Edukais</w:t>
      </w:r>
      <w:r w:rsidRPr="006416A7">
        <w:rPr>
          <w:rFonts w:ascii="Times New Roman" w:hAnsi="Times New Roman" w:cs="Times New Roman"/>
          <w:i/>
          <w:iCs/>
          <w:noProof/>
          <w:kern w:val="0"/>
          <w:lang w:val="id-ID"/>
        </w:rPr>
        <w:t> </w:t>
      </w:r>
      <w:r w:rsidRPr="006416A7">
        <w:rPr>
          <w:rFonts w:ascii="Garamond" w:hAnsi="Garamond" w:cs="Calibri"/>
          <w:i/>
          <w:iCs/>
          <w:noProof/>
          <w:kern w:val="0"/>
          <w:lang w:val="id-ID"/>
        </w:rPr>
        <w:t>: Jurnal Pemikiran Keislaman</w:t>
      </w:r>
      <w:r w:rsidRPr="006416A7">
        <w:rPr>
          <w:rFonts w:ascii="Garamond" w:hAnsi="Garamond" w:cs="Calibri"/>
          <w:noProof/>
          <w:kern w:val="0"/>
          <w:lang w:val="id-ID"/>
        </w:rPr>
        <w:t xml:space="preserve"> 8, No. 1 (July 21, 2024): 23–41. Https://Doi.Org/10.61595/Edukais.2024.8.1.23-41.</w:t>
      </w:r>
    </w:p>
    <w:p w:rsidR="00525F5B" w:rsidRPr="006416A7" w:rsidRDefault="006416A7" w:rsidP="006416A7">
      <w:pPr>
        <w:widowControl w:val="0"/>
        <w:autoSpaceDE w:val="0"/>
        <w:autoSpaceDN w:val="0"/>
        <w:adjustRightInd w:val="0"/>
        <w:spacing w:after="0" w:line="360" w:lineRule="auto"/>
        <w:ind w:left="480" w:hanging="480"/>
        <w:jc w:val="both"/>
        <w:rPr>
          <w:rFonts w:ascii="Garamond" w:hAnsi="Garamond" w:cs="Calibri"/>
          <w:noProof/>
          <w:kern w:val="0"/>
          <w:lang w:val="id-ID"/>
        </w:rPr>
      </w:pPr>
      <w:r w:rsidRPr="006416A7">
        <w:rPr>
          <w:rFonts w:ascii="Garamond" w:hAnsi="Garamond" w:cs="Calibri"/>
          <w:noProof/>
          <w:kern w:val="0"/>
          <w:lang w:val="id-ID"/>
        </w:rPr>
        <w:t xml:space="preserve">Al-Fayyadl, Muhammad. </w:t>
      </w:r>
      <w:r w:rsidRPr="006416A7">
        <w:rPr>
          <w:rFonts w:ascii="Garamond" w:hAnsi="Garamond" w:cs="Calibri"/>
          <w:i/>
          <w:iCs/>
          <w:noProof/>
          <w:kern w:val="0"/>
          <w:lang w:val="id-ID"/>
        </w:rPr>
        <w:t>Derrida</w:t>
      </w:r>
      <w:r w:rsidRPr="006416A7">
        <w:rPr>
          <w:rFonts w:ascii="Garamond" w:hAnsi="Garamond" w:cs="Calibri"/>
          <w:noProof/>
          <w:kern w:val="0"/>
          <w:lang w:val="id-ID"/>
        </w:rPr>
        <w:t>. Yogyakarta: Lkis, 2005.</w:t>
      </w:r>
    </w:p>
    <w:p w:rsidR="00525F5B" w:rsidRPr="006416A7" w:rsidRDefault="006416A7" w:rsidP="006416A7">
      <w:pPr>
        <w:widowControl w:val="0"/>
        <w:autoSpaceDE w:val="0"/>
        <w:autoSpaceDN w:val="0"/>
        <w:adjustRightInd w:val="0"/>
        <w:spacing w:after="0" w:line="360" w:lineRule="auto"/>
        <w:ind w:left="480" w:hanging="480"/>
        <w:jc w:val="both"/>
        <w:rPr>
          <w:rFonts w:ascii="Garamond" w:hAnsi="Garamond" w:cs="Calibri"/>
          <w:noProof/>
          <w:kern w:val="0"/>
          <w:lang w:val="id-ID"/>
        </w:rPr>
      </w:pPr>
      <w:r w:rsidRPr="006416A7">
        <w:rPr>
          <w:rFonts w:ascii="Garamond" w:hAnsi="Garamond" w:cs="Calibri"/>
          <w:noProof/>
          <w:kern w:val="0"/>
          <w:lang w:val="id-ID"/>
        </w:rPr>
        <w:t xml:space="preserve">Alkhadafi, Rahmad. “Epistemologi Filsafat Islam.” </w:t>
      </w:r>
      <w:r w:rsidRPr="006416A7">
        <w:rPr>
          <w:rFonts w:ascii="Garamond" w:hAnsi="Garamond" w:cs="Calibri"/>
          <w:i/>
          <w:iCs/>
          <w:noProof/>
          <w:kern w:val="0"/>
          <w:lang w:val="id-ID"/>
        </w:rPr>
        <w:t>Jmpi: Jurnal Manajemen, Pendidikan Dan Pemikiran Islam</w:t>
      </w:r>
      <w:r w:rsidRPr="006416A7">
        <w:rPr>
          <w:rFonts w:ascii="Garamond" w:hAnsi="Garamond" w:cs="Calibri"/>
          <w:noProof/>
          <w:kern w:val="0"/>
          <w:lang w:val="id-ID"/>
        </w:rPr>
        <w:t xml:space="preserve"> 2, No. 1 (June 30, 2024): 34–41. Https://Doi.Org/10.71305/Jmpi.V2i1.48.</w:t>
      </w:r>
    </w:p>
    <w:p w:rsidR="00525F5B" w:rsidRPr="006416A7" w:rsidRDefault="006416A7" w:rsidP="006416A7">
      <w:pPr>
        <w:widowControl w:val="0"/>
        <w:autoSpaceDE w:val="0"/>
        <w:autoSpaceDN w:val="0"/>
        <w:adjustRightInd w:val="0"/>
        <w:spacing w:after="0" w:line="360" w:lineRule="auto"/>
        <w:ind w:left="480" w:hanging="480"/>
        <w:jc w:val="both"/>
        <w:rPr>
          <w:rFonts w:ascii="Garamond" w:hAnsi="Garamond" w:cs="Calibri"/>
          <w:noProof/>
          <w:kern w:val="0"/>
          <w:lang w:val="id-ID"/>
        </w:rPr>
      </w:pPr>
      <w:r w:rsidRPr="006416A7">
        <w:rPr>
          <w:rFonts w:ascii="Garamond" w:hAnsi="Garamond" w:cs="Calibri"/>
          <w:noProof/>
          <w:kern w:val="0"/>
          <w:lang w:val="id-ID"/>
        </w:rPr>
        <w:t xml:space="preserve">Ariwidodo, Eko. “Logosentrisme Jacques Derrida Dalam Filsafat Bahasa.” </w:t>
      </w:r>
      <w:r w:rsidRPr="006416A7">
        <w:rPr>
          <w:rFonts w:ascii="Garamond" w:hAnsi="Garamond" w:cs="Calibri"/>
          <w:i/>
          <w:iCs/>
          <w:noProof/>
          <w:kern w:val="0"/>
          <w:lang w:val="id-ID"/>
        </w:rPr>
        <w:t>Karsa: Journal Of Social And Islamic Culture</w:t>
      </w:r>
      <w:r w:rsidRPr="006416A7">
        <w:rPr>
          <w:rFonts w:ascii="Garamond" w:hAnsi="Garamond" w:cs="Calibri"/>
          <w:noProof/>
          <w:kern w:val="0"/>
          <w:lang w:val="id-ID"/>
        </w:rPr>
        <w:t xml:space="preserve"> 21, No. 2 (December 5, 2013): 340. Https://Doi.Org/10.19105/Karsa.V21i2.38.</w:t>
      </w:r>
    </w:p>
    <w:p w:rsidR="00525F5B" w:rsidRPr="006416A7" w:rsidRDefault="006416A7" w:rsidP="006416A7">
      <w:pPr>
        <w:widowControl w:val="0"/>
        <w:autoSpaceDE w:val="0"/>
        <w:autoSpaceDN w:val="0"/>
        <w:adjustRightInd w:val="0"/>
        <w:spacing w:after="0" w:line="360" w:lineRule="auto"/>
        <w:ind w:left="480" w:hanging="480"/>
        <w:jc w:val="both"/>
        <w:rPr>
          <w:rFonts w:ascii="Garamond" w:hAnsi="Garamond" w:cs="Calibri"/>
          <w:noProof/>
          <w:kern w:val="0"/>
          <w:lang w:val="id-ID"/>
        </w:rPr>
      </w:pPr>
      <w:r w:rsidRPr="006416A7">
        <w:rPr>
          <w:rFonts w:ascii="Garamond" w:hAnsi="Garamond" w:cs="Calibri"/>
          <w:noProof/>
          <w:kern w:val="0"/>
          <w:lang w:val="id-ID"/>
        </w:rPr>
        <w:t xml:space="preserve">Azis, Muhammad Rachdian Al. “Dialektika Hegel (Tesis-Antitesis-Sintesis) Dalam Etika Dan Filsafat Berkomunikasi Era Kontemporer.” </w:t>
      </w:r>
      <w:r w:rsidRPr="006416A7">
        <w:rPr>
          <w:rFonts w:ascii="Garamond" w:hAnsi="Garamond" w:cs="Calibri"/>
          <w:i/>
          <w:iCs/>
          <w:noProof/>
          <w:kern w:val="0"/>
          <w:lang w:val="id-ID"/>
        </w:rPr>
        <w:t>Jurnal Komunikasi</w:t>
      </w:r>
      <w:r w:rsidRPr="006416A7">
        <w:rPr>
          <w:rFonts w:ascii="Garamond" w:hAnsi="Garamond" w:cs="Calibri"/>
          <w:noProof/>
          <w:kern w:val="0"/>
          <w:lang w:val="id-ID"/>
        </w:rPr>
        <w:t xml:space="preserve"> 12, No. 2 (September 29, 2021): 117–22. Https://Doi.Org/10.31294/Jkom.V12i2.10472.</w:t>
      </w:r>
    </w:p>
    <w:p w:rsidR="00525F5B" w:rsidRPr="006416A7" w:rsidRDefault="006416A7" w:rsidP="006416A7">
      <w:pPr>
        <w:widowControl w:val="0"/>
        <w:autoSpaceDE w:val="0"/>
        <w:autoSpaceDN w:val="0"/>
        <w:adjustRightInd w:val="0"/>
        <w:spacing w:after="0" w:line="360" w:lineRule="auto"/>
        <w:ind w:left="480" w:hanging="480"/>
        <w:jc w:val="both"/>
        <w:rPr>
          <w:rFonts w:ascii="Garamond" w:hAnsi="Garamond" w:cs="Calibri"/>
          <w:noProof/>
          <w:kern w:val="0"/>
          <w:lang w:val="id-ID"/>
        </w:rPr>
      </w:pPr>
      <w:r w:rsidRPr="006416A7">
        <w:rPr>
          <w:rFonts w:ascii="Garamond" w:hAnsi="Garamond" w:cs="Calibri"/>
          <w:noProof/>
          <w:kern w:val="0"/>
          <w:lang w:val="id-ID"/>
        </w:rPr>
        <w:t xml:space="preserve">Bagus, Loren. </w:t>
      </w:r>
      <w:r w:rsidRPr="006416A7">
        <w:rPr>
          <w:rFonts w:ascii="Garamond" w:hAnsi="Garamond" w:cs="Calibri"/>
          <w:i/>
          <w:iCs/>
          <w:noProof/>
          <w:kern w:val="0"/>
          <w:lang w:val="id-ID"/>
        </w:rPr>
        <w:t>Kamus Filsafat</w:t>
      </w:r>
      <w:r w:rsidRPr="006416A7">
        <w:rPr>
          <w:rFonts w:ascii="Garamond" w:hAnsi="Garamond" w:cs="Calibri"/>
          <w:noProof/>
          <w:kern w:val="0"/>
          <w:lang w:val="id-ID"/>
        </w:rPr>
        <w:t>. Jakarta: Gramedia, 2005.</w:t>
      </w:r>
    </w:p>
    <w:p w:rsidR="00525F5B" w:rsidRPr="006416A7" w:rsidRDefault="006416A7" w:rsidP="006416A7">
      <w:pPr>
        <w:widowControl w:val="0"/>
        <w:autoSpaceDE w:val="0"/>
        <w:autoSpaceDN w:val="0"/>
        <w:adjustRightInd w:val="0"/>
        <w:spacing w:after="0" w:line="360" w:lineRule="auto"/>
        <w:ind w:left="480" w:hanging="480"/>
        <w:jc w:val="both"/>
        <w:rPr>
          <w:rFonts w:ascii="Garamond" w:hAnsi="Garamond" w:cs="Calibri"/>
          <w:noProof/>
          <w:kern w:val="0"/>
          <w:lang w:val="id-ID"/>
        </w:rPr>
      </w:pPr>
      <w:r w:rsidRPr="006416A7">
        <w:rPr>
          <w:rFonts w:ascii="Garamond" w:hAnsi="Garamond" w:cs="Calibri"/>
          <w:noProof/>
          <w:kern w:val="0"/>
          <w:lang w:val="id-ID"/>
        </w:rPr>
        <w:t xml:space="preserve">Bisri, Bisri. “Perenialisme Pemikiran Etika Santo Augustinus (Dari Theologi Ke Filsafat Keabadian).” </w:t>
      </w:r>
      <w:r w:rsidRPr="006416A7">
        <w:rPr>
          <w:rFonts w:ascii="Garamond" w:hAnsi="Garamond" w:cs="Calibri"/>
          <w:i/>
          <w:iCs/>
          <w:noProof/>
          <w:kern w:val="0"/>
          <w:lang w:val="id-ID"/>
        </w:rPr>
        <w:t>Jurnal Yaqzhan: Analisis Filsafat, Agama Dan Kemanusiaan</w:t>
      </w:r>
      <w:r w:rsidRPr="006416A7">
        <w:rPr>
          <w:rFonts w:ascii="Garamond" w:hAnsi="Garamond" w:cs="Calibri"/>
          <w:noProof/>
          <w:kern w:val="0"/>
          <w:lang w:val="id-ID"/>
        </w:rPr>
        <w:t xml:space="preserve"> 4, No. 2 (December 1, 2018): 309–29. Https://Doi.Org/10.24235/Jy.V4i2.3550.</w:t>
      </w:r>
    </w:p>
    <w:p w:rsidR="00525F5B" w:rsidRPr="006416A7" w:rsidRDefault="006416A7" w:rsidP="006416A7">
      <w:pPr>
        <w:widowControl w:val="0"/>
        <w:autoSpaceDE w:val="0"/>
        <w:autoSpaceDN w:val="0"/>
        <w:adjustRightInd w:val="0"/>
        <w:spacing w:after="0" w:line="360" w:lineRule="auto"/>
        <w:ind w:left="480" w:hanging="480"/>
        <w:jc w:val="both"/>
        <w:rPr>
          <w:rFonts w:ascii="Garamond" w:hAnsi="Garamond" w:cs="Calibri"/>
          <w:noProof/>
          <w:kern w:val="0"/>
          <w:lang w:val="id-ID"/>
        </w:rPr>
      </w:pPr>
      <w:r w:rsidRPr="006416A7">
        <w:rPr>
          <w:rFonts w:ascii="Garamond" w:hAnsi="Garamond" w:cs="Calibri"/>
          <w:noProof/>
          <w:kern w:val="0"/>
          <w:lang w:val="id-ID"/>
        </w:rPr>
        <w:t xml:space="preserve">Budiwan, Jauhan. “Kritik Immanuel Kant Terhadap Faham Rasionalisme Dan Empirisme.” </w:t>
      </w:r>
      <w:r w:rsidRPr="006416A7">
        <w:rPr>
          <w:rFonts w:ascii="Garamond" w:hAnsi="Garamond" w:cs="Calibri"/>
          <w:i/>
          <w:iCs/>
          <w:noProof/>
          <w:kern w:val="0"/>
          <w:lang w:val="id-ID"/>
        </w:rPr>
        <w:t>Qalamuna: Jurnal Pendidikan, Sosial, Dan Agama</w:t>
      </w:r>
      <w:r w:rsidRPr="006416A7">
        <w:rPr>
          <w:rFonts w:ascii="Garamond" w:hAnsi="Garamond" w:cs="Calibri"/>
          <w:noProof/>
          <w:kern w:val="0"/>
          <w:lang w:val="id-ID"/>
        </w:rPr>
        <w:t xml:space="preserve"> 8, No. 02 (August 2016). Https://Doi.Org/10.37680/Qalamuna.V8i02.357.</w:t>
      </w:r>
    </w:p>
    <w:p w:rsidR="00525F5B" w:rsidRPr="006416A7" w:rsidRDefault="006416A7" w:rsidP="006416A7">
      <w:pPr>
        <w:widowControl w:val="0"/>
        <w:autoSpaceDE w:val="0"/>
        <w:autoSpaceDN w:val="0"/>
        <w:adjustRightInd w:val="0"/>
        <w:spacing w:after="0" w:line="360" w:lineRule="auto"/>
        <w:ind w:left="480" w:hanging="480"/>
        <w:jc w:val="both"/>
        <w:rPr>
          <w:rFonts w:ascii="Garamond" w:hAnsi="Garamond" w:cs="Calibri"/>
          <w:noProof/>
          <w:kern w:val="0"/>
          <w:lang w:val="id-ID"/>
        </w:rPr>
      </w:pPr>
      <w:r w:rsidRPr="006416A7">
        <w:rPr>
          <w:rFonts w:ascii="Garamond" w:hAnsi="Garamond" w:cs="Calibri"/>
          <w:noProof/>
          <w:kern w:val="0"/>
          <w:lang w:val="id-ID"/>
        </w:rPr>
        <w:t xml:space="preserve">Choir, Tholhatul, And Ahwan Fanani. </w:t>
      </w:r>
      <w:r w:rsidRPr="006416A7">
        <w:rPr>
          <w:rFonts w:ascii="Garamond" w:hAnsi="Garamond" w:cs="Calibri"/>
          <w:i/>
          <w:iCs/>
          <w:noProof/>
          <w:kern w:val="0"/>
          <w:lang w:val="id-ID"/>
        </w:rPr>
        <w:t>Islam Dalam Berbagai Pembacaan Kontemporer</w:t>
      </w:r>
      <w:r w:rsidRPr="006416A7">
        <w:rPr>
          <w:rFonts w:ascii="Garamond" w:hAnsi="Garamond" w:cs="Calibri"/>
          <w:noProof/>
          <w:kern w:val="0"/>
          <w:lang w:val="id-ID"/>
        </w:rPr>
        <w:t>. Yogyakarta: Pustaka Pelajar, 2015.</w:t>
      </w:r>
    </w:p>
    <w:p w:rsidR="00525F5B" w:rsidRPr="006416A7" w:rsidRDefault="006416A7" w:rsidP="006416A7">
      <w:pPr>
        <w:widowControl w:val="0"/>
        <w:autoSpaceDE w:val="0"/>
        <w:autoSpaceDN w:val="0"/>
        <w:adjustRightInd w:val="0"/>
        <w:spacing w:after="0" w:line="360" w:lineRule="auto"/>
        <w:ind w:left="480" w:hanging="480"/>
        <w:jc w:val="both"/>
        <w:rPr>
          <w:rFonts w:ascii="Garamond" w:hAnsi="Garamond" w:cs="Calibri"/>
          <w:noProof/>
          <w:kern w:val="0"/>
          <w:lang w:val="id-ID"/>
        </w:rPr>
      </w:pPr>
      <w:r w:rsidRPr="006416A7">
        <w:rPr>
          <w:rFonts w:ascii="Garamond" w:hAnsi="Garamond" w:cs="Calibri"/>
          <w:noProof/>
          <w:kern w:val="0"/>
          <w:lang w:val="id-ID"/>
        </w:rPr>
        <w:t xml:space="preserve">Creighton, J. E. “The Copernican Revolution In Philosophy.” </w:t>
      </w:r>
      <w:r w:rsidRPr="006416A7">
        <w:rPr>
          <w:rFonts w:ascii="Garamond" w:hAnsi="Garamond" w:cs="Calibri"/>
          <w:i/>
          <w:iCs/>
          <w:noProof/>
          <w:kern w:val="0"/>
          <w:lang w:val="id-ID"/>
        </w:rPr>
        <w:t>The Philosophical Review</w:t>
      </w:r>
      <w:r w:rsidRPr="006416A7">
        <w:rPr>
          <w:rFonts w:ascii="Garamond" w:hAnsi="Garamond" w:cs="Calibri"/>
          <w:noProof/>
          <w:kern w:val="0"/>
          <w:lang w:val="id-ID"/>
        </w:rPr>
        <w:t xml:space="preserve"> 22, No. 2 (March 2016): 133–45. Https://Doi.Org/10.2307/2178367.</w:t>
      </w:r>
    </w:p>
    <w:p w:rsidR="00525F5B" w:rsidRPr="006416A7" w:rsidRDefault="006416A7" w:rsidP="006416A7">
      <w:pPr>
        <w:widowControl w:val="0"/>
        <w:autoSpaceDE w:val="0"/>
        <w:autoSpaceDN w:val="0"/>
        <w:adjustRightInd w:val="0"/>
        <w:spacing w:after="0" w:line="360" w:lineRule="auto"/>
        <w:ind w:left="480" w:hanging="480"/>
        <w:jc w:val="both"/>
        <w:rPr>
          <w:rFonts w:ascii="Garamond" w:hAnsi="Garamond" w:cs="Calibri"/>
          <w:noProof/>
          <w:kern w:val="0"/>
          <w:lang w:val="id-ID"/>
        </w:rPr>
      </w:pPr>
      <w:r w:rsidRPr="006416A7">
        <w:rPr>
          <w:rFonts w:ascii="Garamond" w:hAnsi="Garamond" w:cs="Calibri"/>
          <w:noProof/>
          <w:kern w:val="0"/>
          <w:lang w:val="id-ID"/>
        </w:rPr>
        <w:t xml:space="preserve">Dahlan, Mohammad. “Pemikiran Filsafat Moral Immanuel Kant (Deontologi, Imperatif Kategoris Dan Postulat Rasio Praktis).” </w:t>
      </w:r>
      <w:r w:rsidRPr="006416A7">
        <w:rPr>
          <w:rFonts w:ascii="Garamond" w:hAnsi="Garamond" w:cs="Calibri"/>
          <w:i/>
          <w:iCs/>
          <w:noProof/>
          <w:kern w:val="0"/>
          <w:lang w:val="id-ID"/>
        </w:rPr>
        <w:t>Jurnal Ilmiah Ilmu Ushuluddin</w:t>
      </w:r>
      <w:r w:rsidRPr="006416A7">
        <w:rPr>
          <w:rFonts w:ascii="Garamond" w:hAnsi="Garamond" w:cs="Calibri"/>
          <w:noProof/>
          <w:kern w:val="0"/>
          <w:lang w:val="id-ID"/>
        </w:rPr>
        <w:t xml:space="preserve"> 8, No. 1 (2009): 37–48. Https://Doi.Org/Https://Doi.Org/10.18592/Jiu.V8i1.1369.</w:t>
      </w:r>
    </w:p>
    <w:p w:rsidR="00525F5B" w:rsidRPr="006416A7" w:rsidRDefault="006416A7" w:rsidP="006416A7">
      <w:pPr>
        <w:widowControl w:val="0"/>
        <w:autoSpaceDE w:val="0"/>
        <w:autoSpaceDN w:val="0"/>
        <w:adjustRightInd w:val="0"/>
        <w:spacing w:after="0" w:line="360" w:lineRule="auto"/>
        <w:ind w:left="480" w:hanging="480"/>
        <w:jc w:val="both"/>
        <w:rPr>
          <w:rFonts w:ascii="Garamond" w:hAnsi="Garamond" w:cs="Calibri"/>
          <w:noProof/>
          <w:kern w:val="0"/>
          <w:lang w:val="id-ID"/>
        </w:rPr>
      </w:pPr>
      <w:r w:rsidRPr="006416A7">
        <w:rPr>
          <w:rFonts w:ascii="Garamond" w:hAnsi="Garamond" w:cs="Calibri"/>
          <w:noProof/>
          <w:kern w:val="0"/>
          <w:lang w:val="id-ID"/>
        </w:rPr>
        <w:t xml:space="preserve">Feyerabend, Paul. “Wittgenstein’s Philosophical Investigations.” </w:t>
      </w:r>
      <w:r w:rsidRPr="006416A7">
        <w:rPr>
          <w:rFonts w:ascii="Garamond" w:hAnsi="Garamond" w:cs="Calibri"/>
          <w:i/>
          <w:iCs/>
          <w:noProof/>
          <w:kern w:val="0"/>
          <w:lang w:val="id-ID"/>
        </w:rPr>
        <w:t>The Philosophical Review</w:t>
      </w:r>
      <w:r w:rsidRPr="006416A7">
        <w:rPr>
          <w:rFonts w:ascii="Garamond" w:hAnsi="Garamond" w:cs="Calibri"/>
          <w:noProof/>
          <w:kern w:val="0"/>
          <w:lang w:val="id-ID"/>
        </w:rPr>
        <w:t xml:space="preserve"> 64, No. 3 (July 1995): 449. Https://Doi.Org/10.2307/2182211.</w:t>
      </w:r>
    </w:p>
    <w:p w:rsidR="00525F5B" w:rsidRPr="006416A7" w:rsidRDefault="006416A7" w:rsidP="006416A7">
      <w:pPr>
        <w:widowControl w:val="0"/>
        <w:autoSpaceDE w:val="0"/>
        <w:autoSpaceDN w:val="0"/>
        <w:adjustRightInd w:val="0"/>
        <w:spacing w:after="0" w:line="360" w:lineRule="auto"/>
        <w:ind w:left="480" w:hanging="480"/>
        <w:jc w:val="both"/>
        <w:rPr>
          <w:rFonts w:ascii="Garamond" w:hAnsi="Garamond" w:cs="Calibri"/>
          <w:noProof/>
          <w:kern w:val="0"/>
          <w:lang w:val="id-ID"/>
        </w:rPr>
      </w:pPr>
      <w:r w:rsidRPr="006416A7">
        <w:rPr>
          <w:rFonts w:ascii="Garamond" w:hAnsi="Garamond" w:cs="Calibri"/>
          <w:noProof/>
          <w:kern w:val="0"/>
          <w:lang w:val="id-ID"/>
        </w:rPr>
        <w:t xml:space="preserve">Foucault, Michael. </w:t>
      </w:r>
      <w:r w:rsidRPr="006416A7">
        <w:rPr>
          <w:rFonts w:ascii="Garamond" w:hAnsi="Garamond" w:cs="Calibri"/>
          <w:i/>
          <w:iCs/>
          <w:noProof/>
          <w:kern w:val="0"/>
          <w:lang w:val="id-ID"/>
        </w:rPr>
        <w:t>Power Knowledge: Selected Interviews And Other Writings 1972-1977</w:t>
      </w:r>
      <w:r w:rsidRPr="006416A7">
        <w:rPr>
          <w:rFonts w:ascii="Garamond" w:hAnsi="Garamond" w:cs="Calibri"/>
          <w:noProof/>
          <w:kern w:val="0"/>
          <w:lang w:val="id-ID"/>
        </w:rPr>
        <w:t>. London: The Haervester Press, 1980.</w:t>
      </w:r>
    </w:p>
    <w:p w:rsidR="00525F5B" w:rsidRPr="006416A7" w:rsidRDefault="006416A7" w:rsidP="006416A7">
      <w:pPr>
        <w:widowControl w:val="0"/>
        <w:autoSpaceDE w:val="0"/>
        <w:autoSpaceDN w:val="0"/>
        <w:adjustRightInd w:val="0"/>
        <w:spacing w:after="0" w:line="360" w:lineRule="auto"/>
        <w:ind w:left="480" w:hanging="480"/>
        <w:jc w:val="both"/>
        <w:rPr>
          <w:rFonts w:ascii="Garamond" w:hAnsi="Garamond" w:cs="Calibri"/>
          <w:noProof/>
          <w:kern w:val="0"/>
          <w:lang w:val="id-ID"/>
        </w:rPr>
      </w:pPr>
      <w:r w:rsidRPr="006416A7">
        <w:rPr>
          <w:rFonts w:ascii="Garamond" w:hAnsi="Garamond" w:cs="Calibri"/>
          <w:noProof/>
          <w:kern w:val="0"/>
          <w:lang w:val="id-ID"/>
        </w:rPr>
        <w:t xml:space="preserve">Gadamer, Hans-Georg. </w:t>
      </w:r>
      <w:r w:rsidRPr="006416A7">
        <w:rPr>
          <w:rFonts w:ascii="Garamond" w:hAnsi="Garamond" w:cs="Calibri"/>
          <w:i/>
          <w:iCs/>
          <w:noProof/>
          <w:kern w:val="0"/>
          <w:lang w:val="id-ID"/>
        </w:rPr>
        <w:t>Truth And Method</w:t>
      </w:r>
      <w:r w:rsidRPr="006416A7">
        <w:rPr>
          <w:rFonts w:ascii="Garamond" w:hAnsi="Garamond" w:cs="Calibri"/>
          <w:noProof/>
          <w:kern w:val="0"/>
          <w:lang w:val="id-ID"/>
        </w:rPr>
        <w:t>. Translated By Joel Weinsheimer And Donald G. Marshall. London: Continuum, 2006.</w:t>
      </w:r>
    </w:p>
    <w:p w:rsidR="00525F5B" w:rsidRPr="006416A7" w:rsidRDefault="006416A7" w:rsidP="006416A7">
      <w:pPr>
        <w:widowControl w:val="0"/>
        <w:autoSpaceDE w:val="0"/>
        <w:autoSpaceDN w:val="0"/>
        <w:adjustRightInd w:val="0"/>
        <w:spacing w:after="0" w:line="360" w:lineRule="auto"/>
        <w:ind w:left="480" w:hanging="480"/>
        <w:jc w:val="both"/>
        <w:rPr>
          <w:rFonts w:ascii="Garamond" w:hAnsi="Garamond" w:cs="Calibri"/>
          <w:noProof/>
          <w:kern w:val="0"/>
          <w:lang w:val="id-ID"/>
        </w:rPr>
      </w:pPr>
      <w:r w:rsidRPr="006416A7">
        <w:rPr>
          <w:rFonts w:ascii="Garamond" w:hAnsi="Garamond" w:cs="Calibri"/>
          <w:noProof/>
          <w:kern w:val="0"/>
          <w:lang w:val="id-ID"/>
        </w:rPr>
        <w:t xml:space="preserve">Gufron, M. “Transformasi Paradigma Teologi Teosentris Menuju Antroposentris:Telaah Atas Pemikiran Hasan Hanafi.” </w:t>
      </w:r>
      <w:r w:rsidRPr="006416A7">
        <w:rPr>
          <w:rFonts w:ascii="Garamond" w:hAnsi="Garamond" w:cs="Calibri"/>
          <w:i/>
          <w:iCs/>
          <w:noProof/>
          <w:kern w:val="0"/>
          <w:lang w:val="id-ID"/>
        </w:rPr>
        <w:t>Millati: Journal Of Islamic Studies And Humanities</w:t>
      </w:r>
      <w:r w:rsidRPr="006416A7">
        <w:rPr>
          <w:rFonts w:ascii="Garamond" w:hAnsi="Garamond" w:cs="Calibri"/>
          <w:noProof/>
          <w:kern w:val="0"/>
          <w:lang w:val="id-ID"/>
        </w:rPr>
        <w:t xml:space="preserve"> 3, No. 1 (June 15, 2018): 141. Https://Doi.Org/10.18326/Mlt.V3i1.141-171.</w:t>
      </w:r>
    </w:p>
    <w:p w:rsidR="00525F5B" w:rsidRPr="006416A7" w:rsidRDefault="006416A7" w:rsidP="006416A7">
      <w:pPr>
        <w:widowControl w:val="0"/>
        <w:autoSpaceDE w:val="0"/>
        <w:autoSpaceDN w:val="0"/>
        <w:adjustRightInd w:val="0"/>
        <w:spacing w:after="0" w:line="360" w:lineRule="auto"/>
        <w:ind w:left="480" w:hanging="480"/>
        <w:jc w:val="both"/>
        <w:rPr>
          <w:rFonts w:ascii="Garamond" w:hAnsi="Garamond" w:cs="Calibri"/>
          <w:noProof/>
          <w:kern w:val="0"/>
          <w:lang w:val="id-ID"/>
        </w:rPr>
      </w:pPr>
      <w:r w:rsidRPr="006416A7">
        <w:rPr>
          <w:rFonts w:ascii="Garamond" w:hAnsi="Garamond" w:cs="Calibri"/>
          <w:noProof/>
          <w:kern w:val="0"/>
          <w:lang w:val="id-ID"/>
        </w:rPr>
        <w:t xml:space="preserve">Hady, M. Samsul. “Filsafat Ikhwan Ash-Shafa.” </w:t>
      </w:r>
      <w:r w:rsidRPr="006416A7">
        <w:rPr>
          <w:rFonts w:ascii="Garamond" w:hAnsi="Garamond" w:cs="Calibri"/>
          <w:i/>
          <w:iCs/>
          <w:noProof/>
          <w:kern w:val="0"/>
          <w:lang w:val="id-ID"/>
        </w:rPr>
        <w:t>Ulul Albab Jurnal Studi Islam</w:t>
      </w:r>
      <w:r w:rsidRPr="006416A7">
        <w:rPr>
          <w:rFonts w:ascii="Garamond" w:hAnsi="Garamond" w:cs="Calibri"/>
          <w:noProof/>
          <w:kern w:val="0"/>
          <w:lang w:val="id-ID"/>
        </w:rPr>
        <w:t xml:space="preserve"> 8, No. 2 (December 26, 2018): 117–40. Https://Doi.Org/10.18860/Ua.V8i2.6199.</w:t>
      </w:r>
    </w:p>
    <w:p w:rsidR="00525F5B" w:rsidRPr="006416A7" w:rsidRDefault="006416A7" w:rsidP="006416A7">
      <w:pPr>
        <w:widowControl w:val="0"/>
        <w:autoSpaceDE w:val="0"/>
        <w:autoSpaceDN w:val="0"/>
        <w:adjustRightInd w:val="0"/>
        <w:spacing w:after="0" w:line="360" w:lineRule="auto"/>
        <w:ind w:left="480" w:hanging="480"/>
        <w:jc w:val="both"/>
        <w:rPr>
          <w:rFonts w:ascii="Garamond" w:hAnsi="Garamond" w:cs="Calibri"/>
          <w:noProof/>
          <w:kern w:val="0"/>
          <w:lang w:val="id-ID"/>
        </w:rPr>
      </w:pPr>
      <w:r w:rsidRPr="006416A7">
        <w:rPr>
          <w:rFonts w:ascii="Garamond" w:hAnsi="Garamond" w:cs="Calibri"/>
          <w:noProof/>
          <w:kern w:val="0"/>
          <w:lang w:val="id-ID"/>
        </w:rPr>
        <w:t xml:space="preserve">Hajam, And Theguh Saumantr. “Khazanah Ajaran Tasawuf Nusantara: Respon Terhadap Krisis Kemanusiaan Di Era Kontemporer.” </w:t>
      </w:r>
      <w:r w:rsidRPr="006416A7">
        <w:rPr>
          <w:rFonts w:ascii="Garamond" w:hAnsi="Garamond" w:cs="Calibri"/>
          <w:i/>
          <w:iCs/>
          <w:noProof/>
          <w:kern w:val="0"/>
          <w:lang w:val="id-ID"/>
        </w:rPr>
        <w:t>Empirisma: Jurnal Pemikiran Dan Kebudayaan Islam</w:t>
      </w:r>
      <w:r w:rsidRPr="006416A7">
        <w:rPr>
          <w:rFonts w:ascii="Garamond" w:hAnsi="Garamond" w:cs="Calibri"/>
          <w:noProof/>
          <w:kern w:val="0"/>
          <w:lang w:val="id-ID"/>
        </w:rPr>
        <w:t xml:space="preserve"> 33, No. 2 (2024): 291–316. Https://Doi.Org/Https://Doi.Org/10.30762/Empirisma.V33i2.2028.</w:t>
      </w:r>
    </w:p>
    <w:p w:rsidR="00525F5B" w:rsidRPr="006416A7" w:rsidRDefault="006416A7" w:rsidP="006416A7">
      <w:pPr>
        <w:widowControl w:val="0"/>
        <w:autoSpaceDE w:val="0"/>
        <w:autoSpaceDN w:val="0"/>
        <w:adjustRightInd w:val="0"/>
        <w:spacing w:after="0" w:line="360" w:lineRule="auto"/>
        <w:ind w:left="480" w:hanging="480"/>
        <w:jc w:val="both"/>
        <w:rPr>
          <w:rFonts w:ascii="Garamond" w:hAnsi="Garamond" w:cs="Calibri"/>
          <w:noProof/>
          <w:kern w:val="0"/>
          <w:lang w:val="id-ID"/>
        </w:rPr>
      </w:pPr>
      <w:r w:rsidRPr="006416A7">
        <w:rPr>
          <w:rFonts w:ascii="Garamond" w:hAnsi="Garamond" w:cs="Calibri"/>
          <w:noProof/>
          <w:kern w:val="0"/>
          <w:lang w:val="id-ID"/>
        </w:rPr>
        <w:t>Hamat, Yulianus Evantus, And Agustinus Lie. “Makna Ritus ‘Teing Tinu’ Masyarakat Manggarai Dan Praktik Xiao (</w:t>
      </w:r>
      <w:r w:rsidRPr="006416A7">
        <w:rPr>
          <w:rFonts w:ascii="Garamond" w:hAnsi="Garamond" w:cs="Calibri"/>
          <w:noProof/>
          <w:kern w:val="0"/>
          <w:lang w:val="id-ID"/>
        </w:rPr>
        <w:t>孝</w:t>
      </w:r>
      <w:r w:rsidRPr="006416A7">
        <w:rPr>
          <w:rFonts w:ascii="Garamond" w:hAnsi="Garamond" w:cs="Calibri"/>
          <w:noProof/>
          <w:kern w:val="0"/>
          <w:lang w:val="id-ID"/>
        </w:rPr>
        <w:t xml:space="preserve">) Dalam Pemikiran Confucius.” </w:t>
      </w:r>
      <w:r w:rsidRPr="006416A7">
        <w:rPr>
          <w:rFonts w:ascii="Garamond" w:hAnsi="Garamond" w:cs="Calibri"/>
          <w:i/>
          <w:iCs/>
          <w:noProof/>
          <w:kern w:val="0"/>
          <w:lang w:val="id-ID"/>
        </w:rPr>
        <w:t>Jurnal Filsafat Indonesia</w:t>
      </w:r>
      <w:r w:rsidRPr="006416A7">
        <w:rPr>
          <w:rFonts w:ascii="Garamond" w:hAnsi="Garamond" w:cs="Calibri"/>
          <w:noProof/>
          <w:kern w:val="0"/>
          <w:lang w:val="id-ID"/>
        </w:rPr>
        <w:t xml:space="preserve"> 7, No. 2 (June 30, 2024): 217–27. Https://Doi.Org/10.23887/Jfi.V7i2.76519.</w:t>
      </w:r>
    </w:p>
    <w:p w:rsidR="00525F5B" w:rsidRPr="006416A7" w:rsidRDefault="006416A7" w:rsidP="006416A7">
      <w:pPr>
        <w:widowControl w:val="0"/>
        <w:autoSpaceDE w:val="0"/>
        <w:autoSpaceDN w:val="0"/>
        <w:adjustRightInd w:val="0"/>
        <w:spacing w:after="0" w:line="360" w:lineRule="auto"/>
        <w:ind w:left="480" w:hanging="480"/>
        <w:jc w:val="both"/>
        <w:rPr>
          <w:rFonts w:ascii="Garamond" w:hAnsi="Garamond" w:cs="Calibri"/>
          <w:noProof/>
          <w:kern w:val="0"/>
          <w:lang w:val="id-ID"/>
        </w:rPr>
      </w:pPr>
      <w:r w:rsidRPr="006416A7">
        <w:rPr>
          <w:rFonts w:ascii="Garamond" w:hAnsi="Garamond" w:cs="Calibri"/>
          <w:noProof/>
          <w:kern w:val="0"/>
          <w:lang w:val="id-ID"/>
        </w:rPr>
        <w:t xml:space="preserve">Hardiman, Fransisco Budi. </w:t>
      </w:r>
      <w:r w:rsidRPr="006416A7">
        <w:rPr>
          <w:rFonts w:ascii="Garamond" w:hAnsi="Garamond" w:cs="Calibri"/>
          <w:i/>
          <w:iCs/>
          <w:noProof/>
          <w:kern w:val="0"/>
          <w:lang w:val="id-ID"/>
        </w:rPr>
        <w:t>Filsafat Barat</w:t>
      </w:r>
      <w:r w:rsidRPr="006416A7">
        <w:rPr>
          <w:rFonts w:ascii="Garamond" w:hAnsi="Garamond" w:cs="Calibri"/>
          <w:noProof/>
          <w:kern w:val="0"/>
          <w:lang w:val="id-ID"/>
        </w:rPr>
        <w:t>. Jakarta: Gramedia, 2008.</w:t>
      </w:r>
    </w:p>
    <w:p w:rsidR="00525F5B" w:rsidRPr="006416A7" w:rsidRDefault="006416A7" w:rsidP="006416A7">
      <w:pPr>
        <w:widowControl w:val="0"/>
        <w:autoSpaceDE w:val="0"/>
        <w:autoSpaceDN w:val="0"/>
        <w:adjustRightInd w:val="0"/>
        <w:spacing w:after="0" w:line="360" w:lineRule="auto"/>
        <w:ind w:left="480" w:hanging="480"/>
        <w:jc w:val="both"/>
        <w:rPr>
          <w:rFonts w:ascii="Garamond" w:hAnsi="Garamond" w:cs="Calibri"/>
          <w:noProof/>
          <w:kern w:val="0"/>
          <w:lang w:val="id-ID"/>
        </w:rPr>
      </w:pPr>
      <w:r w:rsidRPr="006416A7">
        <w:rPr>
          <w:rFonts w:ascii="Garamond" w:hAnsi="Garamond" w:cs="Calibri"/>
          <w:noProof/>
          <w:kern w:val="0"/>
          <w:lang w:val="id-ID"/>
        </w:rPr>
        <w:t xml:space="preserve">Haryono, Dedi. “Gagasan Uji Teori Empiris Melalui Falsifikasi (Analisis Pemikiran Karl Popper Dalam Filsafat Ilmu).” </w:t>
      </w:r>
      <w:r w:rsidRPr="006416A7">
        <w:rPr>
          <w:rFonts w:ascii="Garamond" w:hAnsi="Garamond" w:cs="Calibri"/>
          <w:i/>
          <w:iCs/>
          <w:noProof/>
          <w:kern w:val="0"/>
          <w:lang w:val="id-ID"/>
        </w:rPr>
        <w:t>Jurnal Al- Ulum: Jurnal Pemikiran Dan Penelitian Ke-Islaman</w:t>
      </w:r>
      <w:r w:rsidRPr="006416A7">
        <w:rPr>
          <w:rFonts w:ascii="Garamond" w:hAnsi="Garamond" w:cs="Calibri"/>
          <w:noProof/>
          <w:kern w:val="0"/>
          <w:lang w:val="id-ID"/>
        </w:rPr>
        <w:t xml:space="preserve"> 1, No. 1 (2014): 73–78. Https://Doi.Org/Https://Doi.Org/10.31102/Alulum.1.1.2014.73-78.</w:t>
      </w:r>
    </w:p>
    <w:p w:rsidR="00525F5B" w:rsidRPr="006416A7" w:rsidRDefault="006416A7" w:rsidP="006416A7">
      <w:pPr>
        <w:widowControl w:val="0"/>
        <w:autoSpaceDE w:val="0"/>
        <w:autoSpaceDN w:val="0"/>
        <w:adjustRightInd w:val="0"/>
        <w:spacing w:after="0" w:line="360" w:lineRule="auto"/>
        <w:ind w:left="480" w:hanging="480"/>
        <w:jc w:val="both"/>
        <w:rPr>
          <w:rFonts w:ascii="Garamond" w:hAnsi="Garamond" w:cs="Calibri"/>
          <w:noProof/>
          <w:kern w:val="0"/>
          <w:lang w:val="id-ID"/>
        </w:rPr>
      </w:pPr>
      <w:r w:rsidRPr="006416A7">
        <w:rPr>
          <w:rFonts w:ascii="Garamond" w:hAnsi="Garamond" w:cs="Calibri"/>
          <w:noProof/>
          <w:kern w:val="0"/>
          <w:lang w:val="id-ID"/>
        </w:rPr>
        <w:t xml:space="preserve">Hatfield, Gary. “Descartes: New Thoughts On The Senses.” </w:t>
      </w:r>
      <w:r w:rsidRPr="006416A7">
        <w:rPr>
          <w:rFonts w:ascii="Garamond" w:hAnsi="Garamond" w:cs="Calibri"/>
          <w:i/>
          <w:iCs/>
          <w:noProof/>
          <w:kern w:val="0"/>
          <w:lang w:val="id-ID"/>
        </w:rPr>
        <w:t>British Journal For The History Of Philosophy</w:t>
      </w:r>
      <w:r w:rsidRPr="006416A7">
        <w:rPr>
          <w:rFonts w:ascii="Garamond" w:hAnsi="Garamond" w:cs="Calibri"/>
          <w:noProof/>
          <w:kern w:val="0"/>
          <w:lang w:val="id-ID"/>
        </w:rPr>
        <w:t xml:space="preserve"> 25, No. 3 (May 4, 2017): 443–64. Https://Doi.Org/10.1080/09608788.2016.1214908.</w:t>
      </w:r>
    </w:p>
    <w:p w:rsidR="00525F5B" w:rsidRPr="006416A7" w:rsidRDefault="006416A7" w:rsidP="006416A7">
      <w:pPr>
        <w:widowControl w:val="0"/>
        <w:autoSpaceDE w:val="0"/>
        <w:autoSpaceDN w:val="0"/>
        <w:adjustRightInd w:val="0"/>
        <w:spacing w:after="0" w:line="360" w:lineRule="auto"/>
        <w:ind w:left="480" w:hanging="480"/>
        <w:jc w:val="both"/>
        <w:rPr>
          <w:rFonts w:ascii="Garamond" w:hAnsi="Garamond" w:cs="Calibri"/>
          <w:noProof/>
          <w:kern w:val="0"/>
          <w:lang w:val="id-ID"/>
        </w:rPr>
      </w:pPr>
      <w:r w:rsidRPr="006416A7">
        <w:rPr>
          <w:rFonts w:ascii="Garamond" w:hAnsi="Garamond" w:cs="Calibri"/>
          <w:noProof/>
          <w:kern w:val="0"/>
          <w:lang w:val="id-ID"/>
        </w:rPr>
        <w:t xml:space="preserve">Hidayatulloh, Taufik, Ahmad Sunawari Long, Irawan, And Theguh Saumantri. “Eco-Theology In Islamic Thought: Religious Moderation And Organizational Roles In Mining Management In Indonesia.” </w:t>
      </w:r>
      <w:r w:rsidRPr="006416A7">
        <w:rPr>
          <w:rFonts w:ascii="Garamond" w:hAnsi="Garamond" w:cs="Calibri"/>
          <w:i/>
          <w:iCs/>
          <w:noProof/>
          <w:kern w:val="0"/>
          <w:lang w:val="id-ID"/>
        </w:rPr>
        <w:t>Progresiva: Journal Of Islamic Thought And Education</w:t>
      </w:r>
      <w:r w:rsidRPr="006416A7">
        <w:rPr>
          <w:rFonts w:ascii="Garamond" w:hAnsi="Garamond" w:cs="Calibri"/>
          <w:noProof/>
          <w:kern w:val="0"/>
          <w:lang w:val="id-ID"/>
        </w:rPr>
        <w:t xml:space="preserve"> 13, No. 03 (December 8, 2024): 379–92. Https://Doi.Org/10.22219/Progresiva.V13i03.37102.</w:t>
      </w:r>
    </w:p>
    <w:p w:rsidR="00525F5B" w:rsidRPr="006416A7" w:rsidRDefault="006416A7" w:rsidP="006416A7">
      <w:pPr>
        <w:widowControl w:val="0"/>
        <w:autoSpaceDE w:val="0"/>
        <w:autoSpaceDN w:val="0"/>
        <w:adjustRightInd w:val="0"/>
        <w:spacing w:after="0" w:line="360" w:lineRule="auto"/>
        <w:ind w:left="480" w:hanging="480"/>
        <w:jc w:val="both"/>
        <w:rPr>
          <w:rFonts w:ascii="Garamond" w:hAnsi="Garamond" w:cs="Calibri"/>
          <w:noProof/>
          <w:kern w:val="0"/>
          <w:lang w:val="id-ID"/>
        </w:rPr>
      </w:pPr>
      <w:r w:rsidRPr="006416A7">
        <w:rPr>
          <w:rFonts w:ascii="Garamond" w:hAnsi="Garamond" w:cs="Calibri"/>
          <w:noProof/>
          <w:kern w:val="0"/>
          <w:lang w:val="id-ID"/>
        </w:rPr>
        <w:t xml:space="preserve">Ismail, Yusuf. “Postmodernism And The Development Of Contemporary Islamic Thought.” </w:t>
      </w:r>
      <w:r w:rsidRPr="006416A7">
        <w:rPr>
          <w:rFonts w:ascii="Garamond" w:hAnsi="Garamond" w:cs="Calibri"/>
          <w:i/>
          <w:iCs/>
          <w:noProof/>
          <w:kern w:val="0"/>
          <w:lang w:val="id-ID"/>
        </w:rPr>
        <w:t>Jurnal Online Studi Al-Qur An</w:t>
      </w:r>
      <w:r w:rsidRPr="006416A7">
        <w:rPr>
          <w:rFonts w:ascii="Garamond" w:hAnsi="Garamond" w:cs="Calibri"/>
          <w:noProof/>
          <w:kern w:val="0"/>
          <w:lang w:val="id-ID"/>
        </w:rPr>
        <w:t xml:space="preserve"> 15, No. 2 (July 31, 2019): 235–48. Https://Doi.Org/10.21009/Jsq.015.2.06.</w:t>
      </w:r>
    </w:p>
    <w:p w:rsidR="00525F5B" w:rsidRPr="006416A7" w:rsidRDefault="006416A7" w:rsidP="006416A7">
      <w:pPr>
        <w:widowControl w:val="0"/>
        <w:autoSpaceDE w:val="0"/>
        <w:autoSpaceDN w:val="0"/>
        <w:adjustRightInd w:val="0"/>
        <w:spacing w:after="0" w:line="360" w:lineRule="auto"/>
        <w:ind w:left="480" w:hanging="480"/>
        <w:jc w:val="both"/>
        <w:rPr>
          <w:rFonts w:ascii="Garamond" w:hAnsi="Garamond" w:cs="Calibri"/>
          <w:noProof/>
          <w:kern w:val="0"/>
          <w:lang w:val="id-ID"/>
        </w:rPr>
      </w:pPr>
      <w:r w:rsidRPr="006416A7">
        <w:rPr>
          <w:rFonts w:ascii="Garamond" w:hAnsi="Garamond" w:cs="Calibri"/>
          <w:noProof/>
          <w:kern w:val="0"/>
          <w:lang w:val="id-ID"/>
        </w:rPr>
        <w:t xml:space="preserve">Khusnan, Ach. “Diskursus Kesejarahan Ilmu Pengetahuan Dan Filsafat Ilmu.” </w:t>
      </w:r>
      <w:r w:rsidRPr="006416A7">
        <w:rPr>
          <w:rFonts w:ascii="Garamond" w:hAnsi="Garamond" w:cs="Calibri"/>
          <w:i/>
          <w:iCs/>
          <w:noProof/>
          <w:kern w:val="0"/>
          <w:lang w:val="id-ID"/>
        </w:rPr>
        <w:t>Fikroh: Jurnal Pemikiran Dan Pendidikan Islam</w:t>
      </w:r>
      <w:r w:rsidRPr="006416A7">
        <w:rPr>
          <w:rFonts w:ascii="Garamond" w:hAnsi="Garamond" w:cs="Calibri"/>
          <w:noProof/>
          <w:kern w:val="0"/>
          <w:lang w:val="id-ID"/>
        </w:rPr>
        <w:t xml:space="preserve"> 12, No. 1 (November 3, 2019): 76–87. Https://Doi.Org/10.37812/Fikroh.V12i1.41.</w:t>
      </w:r>
    </w:p>
    <w:p w:rsidR="00525F5B" w:rsidRPr="006416A7" w:rsidRDefault="006416A7" w:rsidP="006416A7">
      <w:pPr>
        <w:widowControl w:val="0"/>
        <w:autoSpaceDE w:val="0"/>
        <w:autoSpaceDN w:val="0"/>
        <w:adjustRightInd w:val="0"/>
        <w:spacing w:after="0" w:line="360" w:lineRule="auto"/>
        <w:ind w:left="480" w:hanging="480"/>
        <w:jc w:val="both"/>
        <w:rPr>
          <w:rFonts w:ascii="Garamond" w:hAnsi="Garamond" w:cs="Calibri"/>
          <w:noProof/>
          <w:kern w:val="0"/>
          <w:lang w:val="id-ID"/>
        </w:rPr>
      </w:pPr>
      <w:r w:rsidRPr="006416A7">
        <w:rPr>
          <w:rFonts w:ascii="Garamond" w:hAnsi="Garamond" w:cs="Calibri"/>
          <w:noProof/>
          <w:kern w:val="0"/>
          <w:lang w:val="id-ID"/>
        </w:rPr>
        <w:t xml:space="preserve">Kleden, Ignas. “Social Sciences And Contextual Theology.” </w:t>
      </w:r>
      <w:r w:rsidRPr="006416A7">
        <w:rPr>
          <w:rFonts w:ascii="Garamond" w:hAnsi="Garamond" w:cs="Calibri"/>
          <w:i/>
          <w:iCs/>
          <w:noProof/>
          <w:kern w:val="0"/>
          <w:lang w:val="id-ID"/>
        </w:rPr>
        <w:t>Jurnal Ledalero</w:t>
      </w:r>
      <w:r w:rsidRPr="006416A7">
        <w:rPr>
          <w:rFonts w:ascii="Garamond" w:hAnsi="Garamond" w:cs="Calibri"/>
          <w:noProof/>
          <w:kern w:val="0"/>
          <w:lang w:val="id-ID"/>
        </w:rPr>
        <w:t xml:space="preserve"> 17, No. 2 (December 2, 2018): 177. Https://Doi.Org/10.31385/Jl.V17i2.150.177-202.</w:t>
      </w:r>
    </w:p>
    <w:p w:rsidR="00525F5B" w:rsidRPr="006416A7" w:rsidRDefault="006416A7" w:rsidP="006416A7">
      <w:pPr>
        <w:widowControl w:val="0"/>
        <w:autoSpaceDE w:val="0"/>
        <w:autoSpaceDN w:val="0"/>
        <w:adjustRightInd w:val="0"/>
        <w:spacing w:after="0" w:line="360" w:lineRule="auto"/>
        <w:ind w:left="480" w:hanging="480"/>
        <w:jc w:val="both"/>
        <w:rPr>
          <w:rFonts w:ascii="Garamond" w:hAnsi="Garamond" w:cs="Calibri"/>
          <w:noProof/>
          <w:kern w:val="0"/>
          <w:lang w:val="id-ID"/>
        </w:rPr>
      </w:pPr>
      <w:r w:rsidRPr="006416A7">
        <w:rPr>
          <w:rFonts w:ascii="Garamond" w:hAnsi="Garamond" w:cs="Calibri"/>
          <w:noProof/>
          <w:kern w:val="0"/>
          <w:lang w:val="id-ID"/>
        </w:rPr>
        <w:t xml:space="preserve">Lasiyo, Lasiyo. “Sumbangan Filsafat Confucianisme Dalam Menghadapi Abad Xxi.” </w:t>
      </w:r>
      <w:r w:rsidRPr="006416A7">
        <w:rPr>
          <w:rFonts w:ascii="Garamond" w:hAnsi="Garamond" w:cs="Calibri"/>
          <w:i/>
          <w:iCs/>
          <w:noProof/>
          <w:kern w:val="0"/>
          <w:lang w:val="id-ID"/>
        </w:rPr>
        <w:t>Jurnal Filsafat</w:t>
      </w:r>
      <w:r w:rsidRPr="006416A7">
        <w:rPr>
          <w:rFonts w:ascii="Garamond" w:hAnsi="Garamond" w:cs="Calibri"/>
          <w:noProof/>
          <w:kern w:val="0"/>
          <w:lang w:val="id-ID"/>
        </w:rPr>
        <w:t xml:space="preserve"> 201, No. 1 (1994): 14–22. Https://Doi.Org/Https://Doi.Org/10.22146/Jf.31428.</w:t>
      </w:r>
    </w:p>
    <w:p w:rsidR="00525F5B" w:rsidRPr="006416A7" w:rsidRDefault="006416A7" w:rsidP="006416A7">
      <w:pPr>
        <w:widowControl w:val="0"/>
        <w:autoSpaceDE w:val="0"/>
        <w:autoSpaceDN w:val="0"/>
        <w:adjustRightInd w:val="0"/>
        <w:spacing w:after="0" w:line="360" w:lineRule="auto"/>
        <w:ind w:left="480" w:hanging="480"/>
        <w:jc w:val="both"/>
        <w:rPr>
          <w:rFonts w:ascii="Garamond" w:hAnsi="Garamond" w:cs="Calibri"/>
          <w:noProof/>
          <w:kern w:val="0"/>
          <w:lang w:val="id-ID"/>
        </w:rPr>
      </w:pPr>
      <w:r w:rsidRPr="006416A7">
        <w:rPr>
          <w:rFonts w:ascii="Garamond" w:hAnsi="Garamond" w:cs="Calibri"/>
          <w:noProof/>
          <w:kern w:val="0"/>
          <w:lang w:val="id-ID"/>
        </w:rPr>
        <w:t xml:space="preserve">Lexy J Moleong. </w:t>
      </w:r>
      <w:r w:rsidRPr="006416A7">
        <w:rPr>
          <w:rFonts w:ascii="Garamond" w:hAnsi="Garamond" w:cs="Calibri"/>
          <w:i/>
          <w:iCs/>
          <w:noProof/>
          <w:kern w:val="0"/>
          <w:lang w:val="id-ID"/>
        </w:rPr>
        <w:t>Metodologi Penelitian Kualitatif</w:t>
      </w:r>
      <w:r w:rsidRPr="006416A7">
        <w:rPr>
          <w:rFonts w:ascii="Garamond" w:hAnsi="Garamond" w:cs="Calibri"/>
          <w:noProof/>
          <w:kern w:val="0"/>
          <w:lang w:val="id-ID"/>
        </w:rPr>
        <w:t>. Bandung: Rosdakarya, 2018.</w:t>
      </w:r>
    </w:p>
    <w:p w:rsidR="00525F5B" w:rsidRPr="006416A7" w:rsidRDefault="006416A7" w:rsidP="006416A7">
      <w:pPr>
        <w:widowControl w:val="0"/>
        <w:autoSpaceDE w:val="0"/>
        <w:autoSpaceDN w:val="0"/>
        <w:adjustRightInd w:val="0"/>
        <w:spacing w:after="0" w:line="360" w:lineRule="auto"/>
        <w:ind w:left="480" w:hanging="480"/>
        <w:jc w:val="both"/>
        <w:rPr>
          <w:rFonts w:ascii="Garamond" w:hAnsi="Garamond" w:cs="Calibri"/>
          <w:noProof/>
          <w:kern w:val="0"/>
          <w:lang w:val="id-ID"/>
        </w:rPr>
      </w:pPr>
      <w:r w:rsidRPr="006416A7">
        <w:rPr>
          <w:rFonts w:ascii="Garamond" w:hAnsi="Garamond" w:cs="Calibri"/>
          <w:noProof/>
          <w:kern w:val="0"/>
          <w:lang w:val="id-ID"/>
        </w:rPr>
        <w:t xml:space="preserve">Masaroh, Safi’atullaila, Muhammad Abdul Ramadhoni, And Muhammad Ikhsanul Amin. “Eksplorasi Filsafat Dalam Studi Islam: Konsep Dan Konteks.” </w:t>
      </w:r>
      <w:r w:rsidRPr="006416A7">
        <w:rPr>
          <w:rFonts w:ascii="Garamond" w:hAnsi="Garamond" w:cs="Calibri"/>
          <w:i/>
          <w:iCs/>
          <w:noProof/>
          <w:kern w:val="0"/>
          <w:lang w:val="id-ID"/>
        </w:rPr>
        <w:t>Sharia: Jurnal Kajian Islam</w:t>
      </w:r>
      <w:r w:rsidRPr="006416A7">
        <w:rPr>
          <w:rFonts w:ascii="Garamond" w:hAnsi="Garamond" w:cs="Calibri"/>
          <w:noProof/>
          <w:kern w:val="0"/>
          <w:lang w:val="id-ID"/>
        </w:rPr>
        <w:t xml:space="preserve"> 2, No. 1 (March 15, 2025): 14–24. Https://Doi.Org/10.59757/Sharia.V2i1.57.</w:t>
      </w:r>
    </w:p>
    <w:p w:rsidR="00525F5B" w:rsidRPr="006416A7" w:rsidRDefault="006416A7" w:rsidP="006416A7">
      <w:pPr>
        <w:widowControl w:val="0"/>
        <w:autoSpaceDE w:val="0"/>
        <w:autoSpaceDN w:val="0"/>
        <w:adjustRightInd w:val="0"/>
        <w:spacing w:after="0" w:line="360" w:lineRule="auto"/>
        <w:ind w:left="480" w:hanging="480"/>
        <w:jc w:val="both"/>
        <w:rPr>
          <w:rFonts w:ascii="Garamond" w:hAnsi="Garamond" w:cs="Calibri"/>
          <w:noProof/>
          <w:kern w:val="0"/>
          <w:lang w:val="id-ID"/>
        </w:rPr>
      </w:pPr>
      <w:r w:rsidRPr="006416A7">
        <w:rPr>
          <w:rFonts w:ascii="Garamond" w:hAnsi="Garamond" w:cs="Calibri"/>
          <w:noProof/>
          <w:kern w:val="0"/>
          <w:lang w:val="id-ID"/>
        </w:rPr>
        <w:t xml:space="preserve">Maulana, Muhammad Iqbal, And Syahuri Arsyi. “Tradisi Filsafat Iluminasionisme Dan Pengaruhnya Terhadap Kajian Filsafat Islam.” </w:t>
      </w:r>
      <w:r w:rsidRPr="006416A7">
        <w:rPr>
          <w:rFonts w:ascii="Garamond" w:hAnsi="Garamond" w:cs="Calibri"/>
          <w:i/>
          <w:iCs/>
          <w:noProof/>
          <w:kern w:val="0"/>
          <w:lang w:val="id-ID"/>
        </w:rPr>
        <w:t>Tajdid: Jurnal Ilmu Ushuluddin</w:t>
      </w:r>
      <w:r w:rsidRPr="006416A7">
        <w:rPr>
          <w:rFonts w:ascii="Garamond" w:hAnsi="Garamond" w:cs="Calibri"/>
          <w:noProof/>
          <w:kern w:val="0"/>
          <w:lang w:val="id-ID"/>
        </w:rPr>
        <w:t xml:space="preserve"> 20, No. 1 (July 5, 2021): 32–62. Https://Doi.Org/10.30631/Tjd.V20i1.140.</w:t>
      </w:r>
    </w:p>
    <w:p w:rsidR="00525F5B" w:rsidRPr="006416A7" w:rsidRDefault="006416A7" w:rsidP="006416A7">
      <w:pPr>
        <w:widowControl w:val="0"/>
        <w:autoSpaceDE w:val="0"/>
        <w:autoSpaceDN w:val="0"/>
        <w:adjustRightInd w:val="0"/>
        <w:spacing w:after="0" w:line="360" w:lineRule="auto"/>
        <w:ind w:left="480" w:hanging="480"/>
        <w:jc w:val="both"/>
        <w:rPr>
          <w:rFonts w:ascii="Garamond" w:hAnsi="Garamond" w:cs="Calibri"/>
          <w:noProof/>
          <w:kern w:val="0"/>
          <w:lang w:val="id-ID"/>
        </w:rPr>
      </w:pPr>
      <w:r w:rsidRPr="006416A7">
        <w:rPr>
          <w:rFonts w:ascii="Garamond" w:hAnsi="Garamond" w:cs="Calibri"/>
          <w:noProof/>
          <w:kern w:val="0"/>
          <w:lang w:val="id-ID"/>
        </w:rPr>
        <w:t xml:space="preserve">Mylius, Ben. “Three Types Of Anthropocentrism.” </w:t>
      </w:r>
      <w:r w:rsidRPr="006416A7">
        <w:rPr>
          <w:rFonts w:ascii="Garamond" w:hAnsi="Garamond" w:cs="Calibri"/>
          <w:i/>
          <w:iCs/>
          <w:noProof/>
          <w:kern w:val="0"/>
          <w:lang w:val="id-ID"/>
        </w:rPr>
        <w:t>Environmental Philosophy</w:t>
      </w:r>
      <w:r w:rsidRPr="006416A7">
        <w:rPr>
          <w:rFonts w:ascii="Garamond" w:hAnsi="Garamond" w:cs="Calibri"/>
          <w:noProof/>
          <w:kern w:val="0"/>
          <w:lang w:val="id-ID"/>
        </w:rPr>
        <w:t xml:space="preserve"> 15, No. 2 (2018): 159–94. Https://Www.Jstor.Org/Stable/26819179.</w:t>
      </w:r>
    </w:p>
    <w:p w:rsidR="00525F5B" w:rsidRPr="006416A7" w:rsidRDefault="006416A7" w:rsidP="006416A7">
      <w:pPr>
        <w:widowControl w:val="0"/>
        <w:autoSpaceDE w:val="0"/>
        <w:autoSpaceDN w:val="0"/>
        <w:adjustRightInd w:val="0"/>
        <w:spacing w:after="0" w:line="360" w:lineRule="auto"/>
        <w:ind w:left="480" w:hanging="480"/>
        <w:jc w:val="both"/>
        <w:rPr>
          <w:rFonts w:ascii="Garamond" w:hAnsi="Garamond" w:cs="Calibri"/>
          <w:noProof/>
          <w:kern w:val="0"/>
          <w:lang w:val="id-ID"/>
        </w:rPr>
      </w:pPr>
      <w:r w:rsidRPr="006416A7">
        <w:rPr>
          <w:rFonts w:ascii="Garamond" w:hAnsi="Garamond" w:cs="Calibri"/>
          <w:noProof/>
          <w:kern w:val="0"/>
          <w:lang w:val="id-ID"/>
        </w:rPr>
        <w:t xml:space="preserve">Noor, Muhammad. “Filsafat Ketuhanan.” </w:t>
      </w:r>
      <w:r w:rsidRPr="006416A7">
        <w:rPr>
          <w:rFonts w:ascii="Garamond" w:hAnsi="Garamond" w:cs="Calibri"/>
          <w:i/>
          <w:iCs/>
          <w:noProof/>
          <w:kern w:val="0"/>
          <w:lang w:val="id-ID"/>
        </w:rPr>
        <w:t>Jurnal Humaniora Teknologi</w:t>
      </w:r>
      <w:r w:rsidRPr="006416A7">
        <w:rPr>
          <w:rFonts w:ascii="Garamond" w:hAnsi="Garamond" w:cs="Calibri"/>
          <w:noProof/>
          <w:kern w:val="0"/>
          <w:lang w:val="id-ID"/>
        </w:rPr>
        <w:t xml:space="preserve"> 3, No. 1 (August 23, 2018): 28–32. Https://Doi.Org/10.34128/Jht.V3i1.31.</w:t>
      </w:r>
    </w:p>
    <w:p w:rsidR="00525F5B" w:rsidRPr="006416A7" w:rsidRDefault="006416A7" w:rsidP="006416A7">
      <w:pPr>
        <w:widowControl w:val="0"/>
        <w:autoSpaceDE w:val="0"/>
        <w:autoSpaceDN w:val="0"/>
        <w:adjustRightInd w:val="0"/>
        <w:spacing w:after="0" w:line="360" w:lineRule="auto"/>
        <w:ind w:left="480" w:hanging="480"/>
        <w:jc w:val="both"/>
        <w:rPr>
          <w:rFonts w:ascii="Garamond" w:hAnsi="Garamond" w:cs="Calibri"/>
          <w:noProof/>
          <w:kern w:val="0"/>
          <w:lang w:val="id-ID"/>
        </w:rPr>
      </w:pPr>
      <w:r w:rsidRPr="006416A7">
        <w:rPr>
          <w:rFonts w:ascii="Garamond" w:hAnsi="Garamond" w:cs="Calibri"/>
          <w:noProof/>
          <w:kern w:val="0"/>
          <w:lang w:val="id-ID"/>
        </w:rPr>
        <w:t xml:space="preserve">Nur, M. “Revivalisasi Epistemologi Falsifikasi.” </w:t>
      </w:r>
      <w:r w:rsidRPr="006416A7">
        <w:rPr>
          <w:rFonts w:ascii="Garamond" w:hAnsi="Garamond" w:cs="Calibri"/>
          <w:i/>
          <w:iCs/>
          <w:noProof/>
          <w:kern w:val="0"/>
          <w:lang w:val="id-ID"/>
        </w:rPr>
        <w:t>Jurnal Agama Dan Hak Azazi Manusia In Right</w:t>
      </w:r>
      <w:r w:rsidRPr="006416A7">
        <w:rPr>
          <w:rFonts w:ascii="Garamond" w:hAnsi="Garamond" w:cs="Calibri"/>
          <w:noProof/>
          <w:kern w:val="0"/>
          <w:lang w:val="id-ID"/>
        </w:rPr>
        <w:t xml:space="preserve"> 2, No. 1 (2012): 1–14. Https://Doi.Org/Https://Doi.Org/10.14421/Inright.V2i1.1230.</w:t>
      </w:r>
    </w:p>
    <w:p w:rsidR="00525F5B" w:rsidRPr="006416A7" w:rsidRDefault="006416A7" w:rsidP="006416A7">
      <w:pPr>
        <w:widowControl w:val="0"/>
        <w:autoSpaceDE w:val="0"/>
        <w:autoSpaceDN w:val="0"/>
        <w:adjustRightInd w:val="0"/>
        <w:spacing w:after="0" w:line="360" w:lineRule="auto"/>
        <w:ind w:left="480" w:hanging="480"/>
        <w:jc w:val="both"/>
        <w:rPr>
          <w:rFonts w:ascii="Garamond" w:hAnsi="Garamond" w:cs="Calibri"/>
          <w:noProof/>
          <w:kern w:val="0"/>
          <w:lang w:val="id-ID"/>
        </w:rPr>
      </w:pPr>
      <w:r w:rsidRPr="006416A7">
        <w:rPr>
          <w:rFonts w:ascii="Garamond" w:hAnsi="Garamond" w:cs="Calibri"/>
          <w:noProof/>
          <w:kern w:val="0"/>
          <w:lang w:val="id-ID"/>
        </w:rPr>
        <w:t xml:space="preserve">Purwosasaputro, Supriyono. “Falsifikasi Sebagai Dasar Epistemologi Karl Raymund Popper Dalam Melihat Problem Ilmu Pengetahuan.” </w:t>
      </w:r>
      <w:r w:rsidRPr="006416A7">
        <w:rPr>
          <w:rFonts w:ascii="Garamond" w:hAnsi="Garamond" w:cs="Calibri"/>
          <w:i/>
          <w:iCs/>
          <w:noProof/>
          <w:kern w:val="0"/>
          <w:lang w:val="id-ID"/>
        </w:rPr>
        <w:t>Civis</w:t>
      </w:r>
      <w:r w:rsidRPr="006416A7">
        <w:rPr>
          <w:rFonts w:ascii="Times New Roman" w:hAnsi="Times New Roman" w:cs="Times New Roman"/>
          <w:i/>
          <w:iCs/>
          <w:noProof/>
          <w:kern w:val="0"/>
          <w:lang w:val="id-ID"/>
        </w:rPr>
        <w:t> </w:t>
      </w:r>
      <w:r w:rsidRPr="006416A7">
        <w:rPr>
          <w:rFonts w:ascii="Garamond" w:hAnsi="Garamond" w:cs="Calibri"/>
          <w:i/>
          <w:iCs/>
          <w:noProof/>
          <w:kern w:val="0"/>
          <w:lang w:val="id-ID"/>
        </w:rPr>
        <w:t>: Jurnal Ilmiah Ilmu Sosial Dan Pendidikan</w:t>
      </w:r>
      <w:r w:rsidRPr="006416A7">
        <w:rPr>
          <w:rFonts w:ascii="Garamond" w:hAnsi="Garamond" w:cs="Calibri"/>
          <w:noProof/>
          <w:kern w:val="0"/>
          <w:lang w:val="id-ID"/>
        </w:rPr>
        <w:t xml:space="preserve"> 12, No. 2 (July 30, 2023): 103–15. Https://Doi.Org/10.26877/Civis.V12i2.16406.</w:t>
      </w:r>
    </w:p>
    <w:p w:rsidR="00525F5B" w:rsidRPr="006416A7" w:rsidRDefault="006416A7" w:rsidP="006416A7">
      <w:pPr>
        <w:widowControl w:val="0"/>
        <w:autoSpaceDE w:val="0"/>
        <w:autoSpaceDN w:val="0"/>
        <w:adjustRightInd w:val="0"/>
        <w:spacing w:after="0" w:line="360" w:lineRule="auto"/>
        <w:ind w:left="480" w:hanging="480"/>
        <w:jc w:val="both"/>
        <w:rPr>
          <w:rFonts w:ascii="Garamond" w:hAnsi="Garamond" w:cs="Calibri"/>
          <w:noProof/>
          <w:kern w:val="0"/>
          <w:lang w:val="id-ID"/>
        </w:rPr>
      </w:pPr>
      <w:r w:rsidRPr="006416A7">
        <w:rPr>
          <w:rFonts w:ascii="Garamond" w:hAnsi="Garamond" w:cs="Calibri"/>
          <w:noProof/>
          <w:kern w:val="0"/>
          <w:lang w:val="id-ID"/>
        </w:rPr>
        <w:t xml:space="preserve">Rahmadina, Revina, And Radea Yuli A Hambali. “Pengaruh Teori Rene Descartes Terhadap Perubahan Pemikiran Teologi Teosentrisme Menuju Antroposentrisme.” </w:t>
      </w:r>
      <w:r w:rsidRPr="006416A7">
        <w:rPr>
          <w:rFonts w:ascii="Garamond" w:hAnsi="Garamond" w:cs="Calibri"/>
          <w:i/>
          <w:iCs/>
          <w:noProof/>
          <w:kern w:val="0"/>
          <w:lang w:val="id-ID"/>
        </w:rPr>
        <w:t>The 4th Conference On Islamic And Socio-Cultural Studies (Ciss)</w:t>
      </w:r>
      <w:r w:rsidRPr="006416A7">
        <w:rPr>
          <w:rFonts w:ascii="Garamond" w:hAnsi="Garamond" w:cs="Calibri"/>
          <w:noProof/>
          <w:kern w:val="0"/>
          <w:lang w:val="id-ID"/>
        </w:rPr>
        <w:t xml:space="preserve"> 19, No. 1 (2023): 693–708.</w:t>
      </w:r>
    </w:p>
    <w:p w:rsidR="00525F5B" w:rsidRPr="006416A7" w:rsidRDefault="006416A7" w:rsidP="006416A7">
      <w:pPr>
        <w:widowControl w:val="0"/>
        <w:autoSpaceDE w:val="0"/>
        <w:autoSpaceDN w:val="0"/>
        <w:adjustRightInd w:val="0"/>
        <w:spacing w:after="0" w:line="360" w:lineRule="auto"/>
        <w:ind w:left="480" w:hanging="480"/>
        <w:jc w:val="both"/>
        <w:rPr>
          <w:rFonts w:ascii="Garamond" w:hAnsi="Garamond" w:cs="Calibri"/>
          <w:noProof/>
          <w:kern w:val="0"/>
          <w:lang w:val="id-ID"/>
        </w:rPr>
      </w:pPr>
      <w:r w:rsidRPr="006416A7">
        <w:rPr>
          <w:rFonts w:ascii="Garamond" w:hAnsi="Garamond" w:cs="Calibri"/>
          <w:noProof/>
          <w:kern w:val="0"/>
          <w:lang w:val="id-ID"/>
        </w:rPr>
        <w:t xml:space="preserve">Rahmawati, Fitria Dwi, Lailatul Mubarokah, Mohammad Asrori, And Ayu Wilatikta. “Tokoh-Tokoh Dan Pemikiran Filsafat Dunia Barat.” </w:t>
      </w:r>
      <w:r w:rsidRPr="006416A7">
        <w:rPr>
          <w:rFonts w:ascii="Garamond" w:hAnsi="Garamond" w:cs="Calibri"/>
          <w:i/>
          <w:iCs/>
          <w:noProof/>
          <w:kern w:val="0"/>
          <w:lang w:val="id-ID"/>
        </w:rPr>
        <w:t>Raudhah Proud To Be Professionals: Jurnal Tarbiyah Islamiyah</w:t>
      </w:r>
      <w:r w:rsidRPr="006416A7">
        <w:rPr>
          <w:rFonts w:ascii="Garamond" w:hAnsi="Garamond" w:cs="Calibri"/>
          <w:noProof/>
          <w:kern w:val="0"/>
          <w:lang w:val="id-ID"/>
        </w:rPr>
        <w:t xml:space="preserve"> 7, No. 2 (2022): 511–31. Https://Doi.Org/Https://Doi.Org/10.48094/Raudhah.V7i2.416.</w:t>
      </w:r>
    </w:p>
    <w:p w:rsidR="00525F5B" w:rsidRPr="006416A7" w:rsidRDefault="006416A7" w:rsidP="006416A7">
      <w:pPr>
        <w:widowControl w:val="0"/>
        <w:autoSpaceDE w:val="0"/>
        <w:autoSpaceDN w:val="0"/>
        <w:adjustRightInd w:val="0"/>
        <w:spacing w:after="0" w:line="360" w:lineRule="auto"/>
        <w:ind w:left="480" w:hanging="480"/>
        <w:jc w:val="both"/>
        <w:rPr>
          <w:rFonts w:ascii="Garamond" w:hAnsi="Garamond" w:cs="Calibri"/>
          <w:noProof/>
          <w:kern w:val="0"/>
          <w:lang w:val="id-ID"/>
        </w:rPr>
      </w:pPr>
      <w:r w:rsidRPr="006416A7">
        <w:rPr>
          <w:rFonts w:ascii="Garamond" w:hAnsi="Garamond" w:cs="Calibri"/>
          <w:noProof/>
          <w:kern w:val="0"/>
          <w:lang w:val="id-ID"/>
        </w:rPr>
        <w:t xml:space="preserve">Riski, Maydi Aula. “Falsifikasi Karl R. Popper Dan Urgensinya Dala Dunia Akademik.” </w:t>
      </w:r>
      <w:r w:rsidRPr="006416A7">
        <w:rPr>
          <w:rFonts w:ascii="Garamond" w:hAnsi="Garamond" w:cs="Calibri"/>
          <w:i/>
          <w:iCs/>
          <w:noProof/>
          <w:kern w:val="0"/>
          <w:lang w:val="id-ID"/>
        </w:rPr>
        <w:t>Jurnal Filsafat Indonesia</w:t>
      </w:r>
      <w:r w:rsidRPr="006416A7">
        <w:rPr>
          <w:rFonts w:ascii="Garamond" w:hAnsi="Garamond" w:cs="Calibri"/>
          <w:noProof/>
          <w:kern w:val="0"/>
          <w:lang w:val="id-ID"/>
        </w:rPr>
        <w:t xml:space="preserve"> 4, No. 3 (November 1, 2021): 261–72. Https://Doi.Org/10.23887/Jfi.V4i3.36536.</w:t>
      </w:r>
    </w:p>
    <w:p w:rsidR="00525F5B" w:rsidRPr="006416A7" w:rsidRDefault="006416A7" w:rsidP="006416A7">
      <w:pPr>
        <w:widowControl w:val="0"/>
        <w:autoSpaceDE w:val="0"/>
        <w:autoSpaceDN w:val="0"/>
        <w:adjustRightInd w:val="0"/>
        <w:spacing w:after="0" w:line="360" w:lineRule="auto"/>
        <w:ind w:left="480" w:hanging="480"/>
        <w:jc w:val="both"/>
        <w:rPr>
          <w:rFonts w:ascii="Garamond" w:hAnsi="Garamond" w:cs="Calibri"/>
          <w:noProof/>
          <w:kern w:val="0"/>
          <w:lang w:val="id-ID"/>
        </w:rPr>
      </w:pPr>
      <w:r w:rsidRPr="006416A7">
        <w:rPr>
          <w:rFonts w:ascii="Garamond" w:hAnsi="Garamond" w:cs="Calibri"/>
          <w:noProof/>
          <w:kern w:val="0"/>
          <w:lang w:val="id-ID"/>
        </w:rPr>
        <w:t xml:space="preserve">Russel, Bertrand. </w:t>
      </w:r>
      <w:r w:rsidRPr="006416A7">
        <w:rPr>
          <w:rFonts w:ascii="Garamond" w:hAnsi="Garamond" w:cs="Calibri"/>
          <w:i/>
          <w:iCs/>
          <w:noProof/>
          <w:kern w:val="0"/>
          <w:lang w:val="id-ID"/>
        </w:rPr>
        <w:t>Sejarah Filsafat Barat</w:t>
      </w:r>
      <w:r w:rsidRPr="006416A7">
        <w:rPr>
          <w:rFonts w:ascii="Garamond" w:hAnsi="Garamond" w:cs="Calibri"/>
          <w:noProof/>
          <w:kern w:val="0"/>
          <w:lang w:val="id-ID"/>
        </w:rPr>
        <w:t>. Yogyakarta: Pustaka Pelajar, 2016.</w:t>
      </w:r>
    </w:p>
    <w:p w:rsidR="00525F5B" w:rsidRPr="006416A7" w:rsidRDefault="006416A7" w:rsidP="006416A7">
      <w:pPr>
        <w:widowControl w:val="0"/>
        <w:autoSpaceDE w:val="0"/>
        <w:autoSpaceDN w:val="0"/>
        <w:adjustRightInd w:val="0"/>
        <w:spacing w:after="0" w:line="360" w:lineRule="auto"/>
        <w:ind w:left="480" w:hanging="480"/>
        <w:jc w:val="both"/>
        <w:rPr>
          <w:rFonts w:ascii="Garamond" w:hAnsi="Garamond" w:cs="Calibri"/>
          <w:noProof/>
          <w:kern w:val="0"/>
          <w:lang w:val="id-ID"/>
        </w:rPr>
      </w:pPr>
      <w:r w:rsidRPr="006416A7">
        <w:rPr>
          <w:rFonts w:ascii="Garamond" w:hAnsi="Garamond" w:cs="Calibri"/>
          <w:noProof/>
          <w:kern w:val="0"/>
          <w:lang w:val="id-ID"/>
        </w:rPr>
        <w:t xml:space="preserve">Saifullah, Saifullah. “Renaissance Dan Humanisme Sebagai Jembatan Lahirnya Filsafat Modern.” </w:t>
      </w:r>
      <w:r w:rsidRPr="006416A7">
        <w:rPr>
          <w:rFonts w:ascii="Garamond" w:hAnsi="Garamond" w:cs="Calibri"/>
          <w:i/>
          <w:iCs/>
          <w:noProof/>
          <w:kern w:val="0"/>
          <w:lang w:val="id-ID"/>
        </w:rPr>
        <w:t>Jurnal Ushuluddin</w:t>
      </w:r>
      <w:r w:rsidRPr="006416A7">
        <w:rPr>
          <w:rFonts w:ascii="Garamond" w:hAnsi="Garamond" w:cs="Calibri"/>
          <w:noProof/>
          <w:kern w:val="0"/>
          <w:lang w:val="id-ID"/>
        </w:rPr>
        <w:t xml:space="preserve"> 22, No. 2 (2014): 133–44. Https://Doi.Org/Http://Dx.Doi.Org/10.24014/Jush.V22i2.731.</w:t>
      </w:r>
    </w:p>
    <w:p w:rsidR="00525F5B" w:rsidRPr="006416A7" w:rsidRDefault="006416A7" w:rsidP="006416A7">
      <w:pPr>
        <w:widowControl w:val="0"/>
        <w:autoSpaceDE w:val="0"/>
        <w:autoSpaceDN w:val="0"/>
        <w:adjustRightInd w:val="0"/>
        <w:spacing w:after="0" w:line="360" w:lineRule="auto"/>
        <w:ind w:left="480" w:hanging="480"/>
        <w:jc w:val="both"/>
        <w:rPr>
          <w:rFonts w:ascii="Garamond" w:hAnsi="Garamond" w:cs="Calibri"/>
          <w:noProof/>
          <w:kern w:val="0"/>
          <w:lang w:val="id-ID"/>
        </w:rPr>
      </w:pPr>
      <w:r w:rsidRPr="006416A7">
        <w:rPr>
          <w:rFonts w:ascii="Garamond" w:hAnsi="Garamond" w:cs="Calibri"/>
          <w:noProof/>
          <w:kern w:val="0"/>
          <w:lang w:val="id-ID"/>
        </w:rPr>
        <w:t xml:space="preserve">Salam, Andi Muhammad Ikbal. “Lanskap Corak Filsafat Islam.” </w:t>
      </w:r>
      <w:r w:rsidRPr="006416A7">
        <w:rPr>
          <w:rFonts w:ascii="Garamond" w:hAnsi="Garamond" w:cs="Calibri"/>
          <w:i/>
          <w:iCs/>
          <w:noProof/>
          <w:kern w:val="0"/>
          <w:lang w:val="id-ID"/>
        </w:rPr>
        <w:t>Islamika</w:t>
      </w:r>
      <w:r w:rsidRPr="006416A7">
        <w:rPr>
          <w:rFonts w:ascii="Times New Roman" w:hAnsi="Times New Roman" w:cs="Times New Roman"/>
          <w:i/>
          <w:iCs/>
          <w:noProof/>
          <w:kern w:val="0"/>
          <w:lang w:val="id-ID"/>
        </w:rPr>
        <w:t> </w:t>
      </w:r>
      <w:r w:rsidRPr="006416A7">
        <w:rPr>
          <w:rFonts w:ascii="Garamond" w:hAnsi="Garamond" w:cs="Calibri"/>
          <w:i/>
          <w:iCs/>
          <w:noProof/>
          <w:kern w:val="0"/>
          <w:lang w:val="id-ID"/>
        </w:rPr>
        <w:t>: Jurnal Ilmu-Ilmu Keislaman</w:t>
      </w:r>
      <w:r w:rsidRPr="006416A7">
        <w:rPr>
          <w:rFonts w:ascii="Garamond" w:hAnsi="Garamond" w:cs="Calibri"/>
          <w:noProof/>
          <w:kern w:val="0"/>
          <w:lang w:val="id-ID"/>
        </w:rPr>
        <w:t xml:space="preserve"> 20, No. 01 (August 6, 2020): 73–79. Https://Doi.Org/10.32939/Islamika.V20i01.567.</w:t>
      </w:r>
    </w:p>
    <w:p w:rsidR="00525F5B" w:rsidRPr="006416A7" w:rsidRDefault="006416A7" w:rsidP="006416A7">
      <w:pPr>
        <w:widowControl w:val="0"/>
        <w:autoSpaceDE w:val="0"/>
        <w:autoSpaceDN w:val="0"/>
        <w:adjustRightInd w:val="0"/>
        <w:spacing w:after="0" w:line="360" w:lineRule="auto"/>
        <w:ind w:left="480" w:hanging="480"/>
        <w:jc w:val="both"/>
        <w:rPr>
          <w:rFonts w:ascii="Garamond" w:hAnsi="Garamond" w:cs="Calibri"/>
          <w:noProof/>
          <w:kern w:val="0"/>
          <w:lang w:val="id-ID"/>
        </w:rPr>
      </w:pPr>
      <w:r w:rsidRPr="006416A7">
        <w:rPr>
          <w:rFonts w:ascii="Garamond" w:hAnsi="Garamond" w:cs="Calibri"/>
          <w:noProof/>
          <w:kern w:val="0"/>
          <w:lang w:val="id-ID"/>
        </w:rPr>
        <w:t xml:space="preserve">Sartika, Dewi, Dwi Rizki Nabila Nasution, Hijriyah, And Siti Nur Aisyah. “Filsafat Timur Dan Filsafat Barat (Sebuah Pengantar Perbedaan Kajian Filsafat).” </w:t>
      </w:r>
      <w:r w:rsidRPr="006416A7">
        <w:rPr>
          <w:rFonts w:ascii="Garamond" w:hAnsi="Garamond" w:cs="Calibri"/>
          <w:i/>
          <w:iCs/>
          <w:noProof/>
          <w:kern w:val="0"/>
          <w:lang w:val="id-ID"/>
        </w:rPr>
        <w:t>Jurnal Akademika Kajian Ilmu-Ilmu Sosial, Humaniora Dan Agama</w:t>
      </w:r>
      <w:r w:rsidRPr="006416A7">
        <w:rPr>
          <w:rFonts w:ascii="Garamond" w:hAnsi="Garamond" w:cs="Calibri"/>
          <w:noProof/>
          <w:kern w:val="0"/>
          <w:lang w:val="id-ID"/>
        </w:rPr>
        <w:t xml:space="preserve"> 4, No. 2 (2023): 75–88. Https://Doi.Org/Https://Doi.Org/10.3122/Jak.V4i2.76.</w:t>
      </w:r>
    </w:p>
    <w:p w:rsidR="00525F5B" w:rsidRPr="006416A7" w:rsidRDefault="006416A7" w:rsidP="006416A7">
      <w:pPr>
        <w:widowControl w:val="0"/>
        <w:autoSpaceDE w:val="0"/>
        <w:autoSpaceDN w:val="0"/>
        <w:adjustRightInd w:val="0"/>
        <w:spacing w:after="0" w:line="360" w:lineRule="auto"/>
        <w:ind w:left="480" w:hanging="480"/>
        <w:jc w:val="both"/>
        <w:rPr>
          <w:rFonts w:ascii="Garamond" w:hAnsi="Garamond" w:cs="Calibri"/>
          <w:noProof/>
          <w:kern w:val="0"/>
          <w:lang w:val="id-ID"/>
        </w:rPr>
      </w:pPr>
      <w:r w:rsidRPr="006416A7">
        <w:rPr>
          <w:rFonts w:ascii="Garamond" w:hAnsi="Garamond" w:cs="Calibri"/>
          <w:noProof/>
          <w:kern w:val="0"/>
          <w:lang w:val="id-ID"/>
        </w:rPr>
        <w:t xml:space="preserve">Saumantri, Theguh. </w:t>
      </w:r>
      <w:r w:rsidRPr="006416A7">
        <w:rPr>
          <w:rFonts w:ascii="Garamond" w:hAnsi="Garamond" w:cs="Calibri"/>
          <w:i/>
          <w:iCs/>
          <w:noProof/>
          <w:kern w:val="0"/>
          <w:lang w:val="id-ID"/>
        </w:rPr>
        <w:t>Filsafat Ilmu (Sebuah Dialektika Ilmu Pengetahuan)</w:t>
      </w:r>
      <w:r w:rsidRPr="006416A7">
        <w:rPr>
          <w:rFonts w:ascii="Garamond" w:hAnsi="Garamond" w:cs="Calibri"/>
          <w:noProof/>
          <w:kern w:val="0"/>
          <w:lang w:val="id-ID"/>
        </w:rPr>
        <w:t>. Bengkulu: Cv. Brimedia Global, 2022.</w:t>
      </w:r>
    </w:p>
    <w:p w:rsidR="00525F5B" w:rsidRPr="006416A7" w:rsidRDefault="006416A7" w:rsidP="006416A7">
      <w:pPr>
        <w:widowControl w:val="0"/>
        <w:autoSpaceDE w:val="0"/>
        <w:autoSpaceDN w:val="0"/>
        <w:adjustRightInd w:val="0"/>
        <w:spacing w:after="0" w:line="360" w:lineRule="auto"/>
        <w:ind w:left="480" w:hanging="480"/>
        <w:jc w:val="both"/>
        <w:rPr>
          <w:rFonts w:ascii="Garamond" w:hAnsi="Garamond" w:cs="Calibri"/>
          <w:noProof/>
          <w:kern w:val="0"/>
          <w:lang w:val="id-ID"/>
        </w:rPr>
      </w:pPr>
      <w:r w:rsidRPr="006416A7">
        <w:rPr>
          <w:rFonts w:ascii="Garamond" w:hAnsi="Garamond" w:cs="Calibri"/>
          <w:noProof/>
          <w:kern w:val="0"/>
          <w:lang w:val="id-ID"/>
        </w:rPr>
        <w:t xml:space="preserve">———. “Hegel’s Rationalism: The Dialectical Method Of Approaching Metaphysical Problems.” </w:t>
      </w:r>
      <w:r w:rsidRPr="006416A7">
        <w:rPr>
          <w:rFonts w:ascii="Garamond" w:hAnsi="Garamond" w:cs="Calibri"/>
          <w:i/>
          <w:iCs/>
          <w:noProof/>
          <w:kern w:val="0"/>
          <w:lang w:val="id-ID"/>
        </w:rPr>
        <w:t>Jurnal Filsafat Indonesia</w:t>
      </w:r>
      <w:r w:rsidRPr="006416A7">
        <w:rPr>
          <w:rFonts w:ascii="Garamond" w:hAnsi="Garamond" w:cs="Calibri"/>
          <w:noProof/>
          <w:kern w:val="0"/>
          <w:lang w:val="id-ID"/>
        </w:rPr>
        <w:t xml:space="preserve"> 6, No. 3 (2023): 455–64. Https://Doi.Org/Https://Doi.Org/10.23887/Jfi.V6i3.58381.</w:t>
      </w:r>
    </w:p>
    <w:p w:rsidR="00525F5B" w:rsidRPr="006416A7" w:rsidRDefault="006416A7" w:rsidP="006416A7">
      <w:pPr>
        <w:widowControl w:val="0"/>
        <w:autoSpaceDE w:val="0"/>
        <w:autoSpaceDN w:val="0"/>
        <w:adjustRightInd w:val="0"/>
        <w:spacing w:after="0" w:line="360" w:lineRule="auto"/>
        <w:ind w:left="480" w:hanging="480"/>
        <w:jc w:val="both"/>
        <w:rPr>
          <w:rFonts w:ascii="Garamond" w:hAnsi="Garamond" w:cs="Calibri"/>
          <w:noProof/>
          <w:kern w:val="0"/>
          <w:lang w:val="id-ID"/>
        </w:rPr>
      </w:pPr>
      <w:r w:rsidRPr="006416A7">
        <w:rPr>
          <w:rFonts w:ascii="Garamond" w:hAnsi="Garamond" w:cs="Calibri"/>
          <w:noProof/>
          <w:kern w:val="0"/>
          <w:lang w:val="id-ID"/>
        </w:rPr>
        <w:t xml:space="preserve">———. “Wacana Integrasi Ilmu Dalam Pandangan Al-Ghozali.” </w:t>
      </w:r>
      <w:r w:rsidRPr="006416A7">
        <w:rPr>
          <w:rFonts w:ascii="Garamond" w:hAnsi="Garamond" w:cs="Calibri"/>
          <w:i/>
          <w:iCs/>
          <w:noProof/>
          <w:kern w:val="0"/>
          <w:lang w:val="id-ID"/>
        </w:rPr>
        <w:t>Jurnal Yaqzhan: Analisis Filsafat, Agama Dan Kemanusiaan: Analisis Filsafat, Agama Dan Kemanusiaan</w:t>
      </w:r>
      <w:r w:rsidRPr="006416A7">
        <w:rPr>
          <w:rFonts w:ascii="Garamond" w:hAnsi="Garamond" w:cs="Calibri"/>
          <w:noProof/>
          <w:kern w:val="0"/>
          <w:lang w:val="id-ID"/>
        </w:rPr>
        <w:t xml:space="preserve"> 5, No. 2 (December 2019): 128. Https://Doi.Org/10.24235/Jy.V5i2.5711.</w:t>
      </w:r>
    </w:p>
    <w:p w:rsidR="00525F5B" w:rsidRPr="006416A7" w:rsidRDefault="006416A7" w:rsidP="006416A7">
      <w:pPr>
        <w:widowControl w:val="0"/>
        <w:autoSpaceDE w:val="0"/>
        <w:autoSpaceDN w:val="0"/>
        <w:adjustRightInd w:val="0"/>
        <w:spacing w:after="0" w:line="360" w:lineRule="auto"/>
        <w:ind w:left="480" w:hanging="480"/>
        <w:jc w:val="both"/>
        <w:rPr>
          <w:rFonts w:ascii="Garamond" w:hAnsi="Garamond" w:cs="Calibri"/>
          <w:noProof/>
          <w:kern w:val="0"/>
          <w:lang w:val="id-ID"/>
        </w:rPr>
      </w:pPr>
      <w:r w:rsidRPr="006416A7">
        <w:rPr>
          <w:rFonts w:ascii="Garamond" w:hAnsi="Garamond" w:cs="Calibri"/>
          <w:noProof/>
          <w:kern w:val="0"/>
          <w:lang w:val="id-ID"/>
        </w:rPr>
        <w:t xml:space="preserve">Soleh, A. Khudori. “Mencermati Sejarah Perkembangan Filsafat Islam.” </w:t>
      </w:r>
      <w:r w:rsidRPr="006416A7">
        <w:rPr>
          <w:rFonts w:ascii="Garamond" w:hAnsi="Garamond" w:cs="Calibri"/>
          <w:i/>
          <w:iCs/>
          <w:noProof/>
          <w:kern w:val="0"/>
          <w:lang w:val="id-ID"/>
        </w:rPr>
        <w:t>Tsaqafah</w:t>
      </w:r>
      <w:r w:rsidRPr="006416A7">
        <w:rPr>
          <w:rFonts w:ascii="Garamond" w:hAnsi="Garamond" w:cs="Calibri"/>
          <w:noProof/>
          <w:kern w:val="0"/>
          <w:lang w:val="id-ID"/>
        </w:rPr>
        <w:t xml:space="preserve"> 10, No. 1 (May 31, 2014): 63. Https://Doi.Org/10.21111/Tsaqafah.V10i1.64.</w:t>
      </w:r>
    </w:p>
    <w:p w:rsidR="00525F5B" w:rsidRPr="006416A7" w:rsidRDefault="006416A7" w:rsidP="006416A7">
      <w:pPr>
        <w:widowControl w:val="0"/>
        <w:autoSpaceDE w:val="0"/>
        <w:autoSpaceDN w:val="0"/>
        <w:adjustRightInd w:val="0"/>
        <w:spacing w:after="0" w:line="360" w:lineRule="auto"/>
        <w:ind w:left="480" w:hanging="480"/>
        <w:jc w:val="both"/>
        <w:rPr>
          <w:rFonts w:ascii="Garamond" w:hAnsi="Garamond" w:cs="Calibri"/>
          <w:noProof/>
          <w:kern w:val="0"/>
          <w:lang w:val="id-ID"/>
        </w:rPr>
      </w:pPr>
      <w:r w:rsidRPr="006416A7">
        <w:rPr>
          <w:rFonts w:ascii="Garamond" w:hAnsi="Garamond" w:cs="Calibri"/>
          <w:noProof/>
          <w:kern w:val="0"/>
          <w:lang w:val="id-ID"/>
        </w:rPr>
        <w:t xml:space="preserve">Somawati, Ayu Veronika. “Filsafat Ketuhanan Menurut Plato Dalam Perspektif Hindu.” </w:t>
      </w:r>
      <w:r w:rsidRPr="006416A7">
        <w:rPr>
          <w:rFonts w:ascii="Garamond" w:hAnsi="Garamond" w:cs="Calibri"/>
          <w:i/>
          <w:iCs/>
          <w:noProof/>
          <w:kern w:val="0"/>
          <w:lang w:val="id-ID"/>
        </w:rPr>
        <w:t>Genta Hredaya</w:t>
      </w:r>
      <w:r w:rsidRPr="006416A7">
        <w:rPr>
          <w:rFonts w:ascii="Garamond" w:hAnsi="Garamond" w:cs="Calibri"/>
          <w:noProof/>
          <w:kern w:val="0"/>
          <w:lang w:val="id-ID"/>
        </w:rPr>
        <w:t xml:space="preserve"> 4, No. 1 (2020): 31–40. Https://Doi.Org/Https://Doi.Org/10.55115/Gentahredaya.V4i1.515.</w:t>
      </w:r>
    </w:p>
    <w:p w:rsidR="00525F5B" w:rsidRPr="006416A7" w:rsidRDefault="006416A7" w:rsidP="006416A7">
      <w:pPr>
        <w:widowControl w:val="0"/>
        <w:autoSpaceDE w:val="0"/>
        <w:autoSpaceDN w:val="0"/>
        <w:adjustRightInd w:val="0"/>
        <w:spacing w:after="0" w:line="360" w:lineRule="auto"/>
        <w:ind w:left="480" w:hanging="480"/>
        <w:jc w:val="both"/>
        <w:rPr>
          <w:rFonts w:ascii="Garamond" w:hAnsi="Garamond" w:cs="Calibri"/>
          <w:noProof/>
          <w:kern w:val="0"/>
          <w:lang w:val="id-ID"/>
        </w:rPr>
      </w:pPr>
      <w:r w:rsidRPr="006416A7">
        <w:rPr>
          <w:rFonts w:ascii="Garamond" w:hAnsi="Garamond" w:cs="Calibri"/>
          <w:noProof/>
          <w:kern w:val="0"/>
          <w:lang w:val="id-ID"/>
        </w:rPr>
        <w:t xml:space="preserve">Sunanto, Musyrifah. </w:t>
      </w:r>
      <w:r w:rsidRPr="006416A7">
        <w:rPr>
          <w:rFonts w:ascii="Garamond" w:hAnsi="Garamond" w:cs="Calibri"/>
          <w:i/>
          <w:iCs/>
          <w:noProof/>
          <w:kern w:val="0"/>
          <w:lang w:val="id-ID"/>
        </w:rPr>
        <w:t>Sejarah Islam Klasik Perkembangan Ilmu Pengetahuan Islam</w:t>
      </w:r>
      <w:r w:rsidRPr="006416A7">
        <w:rPr>
          <w:rFonts w:ascii="Garamond" w:hAnsi="Garamond" w:cs="Calibri"/>
          <w:noProof/>
          <w:kern w:val="0"/>
          <w:lang w:val="id-ID"/>
        </w:rPr>
        <w:t>. Jakarta: Kencana, 2010.</w:t>
      </w:r>
    </w:p>
    <w:p w:rsidR="00525F5B" w:rsidRPr="006416A7" w:rsidRDefault="006416A7" w:rsidP="006416A7">
      <w:pPr>
        <w:widowControl w:val="0"/>
        <w:autoSpaceDE w:val="0"/>
        <w:autoSpaceDN w:val="0"/>
        <w:adjustRightInd w:val="0"/>
        <w:spacing w:after="0" w:line="360" w:lineRule="auto"/>
        <w:ind w:left="480" w:hanging="480"/>
        <w:jc w:val="both"/>
        <w:rPr>
          <w:rFonts w:ascii="Garamond" w:hAnsi="Garamond" w:cs="Calibri"/>
          <w:noProof/>
          <w:kern w:val="0"/>
          <w:lang w:val="id-ID"/>
        </w:rPr>
      </w:pPr>
      <w:r w:rsidRPr="006416A7">
        <w:rPr>
          <w:rFonts w:ascii="Garamond" w:hAnsi="Garamond" w:cs="Calibri"/>
          <w:noProof/>
          <w:kern w:val="0"/>
          <w:lang w:val="id-ID"/>
        </w:rPr>
        <w:t xml:space="preserve">Tamawiwy, August Corneles. “Dekonstruksi Teologi Metafisik: Menunda Logosentrisme Dalam Teologi.” </w:t>
      </w:r>
      <w:r w:rsidRPr="006416A7">
        <w:rPr>
          <w:rFonts w:ascii="Garamond" w:hAnsi="Garamond" w:cs="Calibri"/>
          <w:i/>
          <w:iCs/>
          <w:noProof/>
          <w:kern w:val="0"/>
          <w:lang w:val="id-ID"/>
        </w:rPr>
        <w:t>Dunamis: Jurnal Teologi Dan Pendidikan Kristiani</w:t>
      </w:r>
      <w:r w:rsidRPr="006416A7">
        <w:rPr>
          <w:rFonts w:ascii="Garamond" w:hAnsi="Garamond" w:cs="Calibri"/>
          <w:noProof/>
          <w:kern w:val="0"/>
          <w:lang w:val="id-ID"/>
        </w:rPr>
        <w:t xml:space="preserve"> 8, No. 1 (October 23, 2023): 378–98. Https://Doi.Org/10.30648/Dun.V8i1.1056.</w:t>
      </w:r>
    </w:p>
    <w:p w:rsidR="00525F5B" w:rsidRPr="006416A7" w:rsidRDefault="006416A7" w:rsidP="006416A7">
      <w:pPr>
        <w:widowControl w:val="0"/>
        <w:autoSpaceDE w:val="0"/>
        <w:autoSpaceDN w:val="0"/>
        <w:adjustRightInd w:val="0"/>
        <w:spacing w:after="0" w:line="360" w:lineRule="auto"/>
        <w:ind w:left="480" w:hanging="480"/>
        <w:jc w:val="both"/>
        <w:rPr>
          <w:rFonts w:ascii="Garamond" w:hAnsi="Garamond" w:cs="Calibri"/>
          <w:noProof/>
          <w:kern w:val="0"/>
          <w:lang w:val="id-ID"/>
        </w:rPr>
      </w:pPr>
      <w:r w:rsidRPr="006416A7">
        <w:rPr>
          <w:rFonts w:ascii="Garamond" w:hAnsi="Garamond" w:cs="Calibri"/>
          <w:noProof/>
          <w:kern w:val="0"/>
          <w:lang w:val="id-ID"/>
        </w:rPr>
        <w:t xml:space="preserve">Wahid, Masykur. </w:t>
      </w:r>
      <w:r w:rsidRPr="006416A7">
        <w:rPr>
          <w:rFonts w:ascii="Garamond" w:hAnsi="Garamond" w:cs="Calibri"/>
          <w:i/>
          <w:iCs/>
          <w:noProof/>
          <w:kern w:val="0"/>
          <w:lang w:val="id-ID"/>
        </w:rPr>
        <w:t>Filsafat Umum: Dari Filsafat Yunani Kuno Ke Filsafat Modern</w:t>
      </w:r>
      <w:r w:rsidRPr="006416A7">
        <w:rPr>
          <w:rFonts w:ascii="Garamond" w:hAnsi="Garamond" w:cs="Calibri"/>
          <w:noProof/>
          <w:kern w:val="0"/>
          <w:lang w:val="id-ID"/>
        </w:rPr>
        <w:t>. Serang: A-Empat, 2021.</w:t>
      </w:r>
    </w:p>
    <w:p w:rsidR="00525F5B" w:rsidRPr="006416A7" w:rsidRDefault="006416A7" w:rsidP="006416A7">
      <w:pPr>
        <w:widowControl w:val="0"/>
        <w:autoSpaceDE w:val="0"/>
        <w:autoSpaceDN w:val="0"/>
        <w:adjustRightInd w:val="0"/>
        <w:spacing w:after="0" w:line="360" w:lineRule="auto"/>
        <w:ind w:left="480" w:hanging="480"/>
        <w:jc w:val="both"/>
        <w:rPr>
          <w:rFonts w:ascii="Garamond" w:hAnsi="Garamond" w:cs="Calibri"/>
          <w:noProof/>
          <w:kern w:val="0"/>
          <w:lang w:val="id-ID"/>
        </w:rPr>
      </w:pPr>
      <w:r w:rsidRPr="006416A7">
        <w:rPr>
          <w:rFonts w:ascii="Garamond" w:hAnsi="Garamond" w:cs="Calibri"/>
          <w:noProof/>
          <w:kern w:val="0"/>
          <w:lang w:val="id-ID"/>
        </w:rPr>
        <w:t xml:space="preserve">Wiyono, Dwi Fitri. “Dimensi Humanisme Teosentris Pendidikan Islam: Tinjauan Mazhab Filsafat Pendidikan Islam Peripatetik, Iluminasi, Dan Sufi.” </w:t>
      </w:r>
      <w:r w:rsidRPr="006416A7">
        <w:rPr>
          <w:rFonts w:ascii="Garamond" w:hAnsi="Garamond" w:cs="Calibri"/>
          <w:i/>
          <w:iCs/>
          <w:noProof/>
          <w:kern w:val="0"/>
          <w:lang w:val="id-ID"/>
        </w:rPr>
        <w:t>Jurnal Vicratina</w:t>
      </w:r>
      <w:r w:rsidRPr="006416A7">
        <w:rPr>
          <w:rFonts w:ascii="Garamond" w:hAnsi="Garamond" w:cs="Calibri"/>
          <w:noProof/>
          <w:kern w:val="0"/>
          <w:lang w:val="id-ID"/>
        </w:rPr>
        <w:t xml:space="preserve"> 3, No. 1 (2018): 123–36.</w:t>
      </w:r>
    </w:p>
    <w:p w:rsidR="00525F5B" w:rsidRPr="006416A7" w:rsidRDefault="006416A7" w:rsidP="006416A7">
      <w:pPr>
        <w:widowControl w:val="0"/>
        <w:autoSpaceDE w:val="0"/>
        <w:autoSpaceDN w:val="0"/>
        <w:adjustRightInd w:val="0"/>
        <w:spacing w:after="0" w:line="360" w:lineRule="auto"/>
        <w:ind w:left="480" w:hanging="480"/>
        <w:jc w:val="both"/>
        <w:rPr>
          <w:rFonts w:ascii="Garamond" w:hAnsi="Garamond" w:cs="Calibri"/>
          <w:noProof/>
          <w:lang w:val="id-ID"/>
        </w:rPr>
      </w:pPr>
      <w:r w:rsidRPr="006416A7">
        <w:rPr>
          <w:rFonts w:ascii="Garamond" w:hAnsi="Garamond" w:cs="Calibri"/>
          <w:noProof/>
          <w:kern w:val="0"/>
          <w:lang w:val="id-ID"/>
        </w:rPr>
        <w:t xml:space="preserve">Zulifan, Muhammad. “Politik Islam Di Indonesia: Ideologi, Transformasi Dan Prospek Dalam Proses Politik Terkini.” </w:t>
      </w:r>
      <w:r w:rsidRPr="006416A7">
        <w:rPr>
          <w:rFonts w:ascii="Garamond" w:hAnsi="Garamond" w:cs="Calibri"/>
          <w:i/>
          <w:iCs/>
          <w:noProof/>
          <w:kern w:val="0"/>
          <w:lang w:val="id-ID"/>
        </w:rPr>
        <w:t>Politik Indonesia: Indonesian Political Science Review</w:t>
      </w:r>
      <w:r w:rsidRPr="006416A7">
        <w:rPr>
          <w:rFonts w:ascii="Garamond" w:hAnsi="Garamond" w:cs="Calibri"/>
          <w:noProof/>
          <w:kern w:val="0"/>
          <w:lang w:val="id-ID"/>
        </w:rPr>
        <w:t xml:space="preserve"> 1, No. 2 (July 15, 2016): 171–95. Https://Doi.Org/10.15294/Jpi.V1i2.6583.</w:t>
      </w:r>
    </w:p>
    <w:p w:rsidR="00C806E8" w:rsidRPr="006416A7" w:rsidRDefault="00071F8A" w:rsidP="006416A7">
      <w:pPr>
        <w:spacing w:after="0" w:line="360" w:lineRule="auto"/>
        <w:jc w:val="both"/>
        <w:rPr>
          <w:rFonts w:ascii="Garamond" w:hAnsi="Garamond"/>
          <w:b/>
          <w:bCs/>
          <w:lang w:val="id-ID"/>
        </w:rPr>
      </w:pPr>
      <w:r w:rsidRPr="006416A7">
        <w:rPr>
          <w:rFonts w:ascii="Garamond" w:hAnsi="Garamond"/>
          <w:b/>
          <w:bCs/>
          <w:lang w:val="id-ID"/>
        </w:rPr>
        <w:fldChar w:fldCharType="end"/>
      </w:r>
    </w:p>
    <w:sectPr w:rsidR="00C806E8" w:rsidRPr="006416A7" w:rsidSect="00096D9C">
      <w:headerReference w:type="default" r:id="rId10"/>
      <w:footerReference w:type="default" r:id="rId11"/>
      <w:headerReference w:type="first" r:id="rId12"/>
      <w:footerReference w:type="first" r:id="rId13"/>
      <w:pgSz w:w="11907" w:h="16840" w:code="9"/>
      <w:pgMar w:top="1440" w:right="1440" w:bottom="1440" w:left="1440" w:header="284" w:footer="284"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7019" w:rsidRDefault="00517019" w:rsidP="00CD75F1">
      <w:pPr>
        <w:spacing w:after="0" w:line="240" w:lineRule="auto"/>
      </w:pPr>
      <w:r>
        <w:separator/>
      </w:r>
    </w:p>
  </w:endnote>
  <w:endnote w:type="continuationSeparator" w:id="1">
    <w:p w:rsidR="00517019" w:rsidRDefault="00517019" w:rsidP="00CD75F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MS Mincho"/>
    <w:panose1 w:val="00000000000000000000"/>
    <w:charset w:val="80"/>
    <w:family w:val="roman"/>
    <w:notTrueType/>
    <w:pitch w:val="default"/>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panose1 w:val="00000000000000000000"/>
    <w:charset w:val="8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Garamond">
    <w:altName w:val="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3466" w:rsidRDefault="003D3466" w:rsidP="003D3466">
    <w:pPr>
      <w:spacing w:before="240" w:after="240"/>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3466" w:rsidRDefault="003D3466" w:rsidP="003D3466">
    <w:pPr>
      <w:spacing w:before="240" w:after="240"/>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7019" w:rsidRDefault="00517019" w:rsidP="00CD75F1">
      <w:pPr>
        <w:spacing w:after="0" w:line="240" w:lineRule="auto"/>
      </w:pPr>
      <w:r>
        <w:separator/>
      </w:r>
    </w:p>
  </w:footnote>
  <w:footnote w:type="continuationSeparator" w:id="1">
    <w:p w:rsidR="00517019" w:rsidRDefault="00517019" w:rsidP="00CD75F1">
      <w:pPr>
        <w:spacing w:after="0" w:line="240" w:lineRule="auto"/>
      </w:pPr>
      <w:r>
        <w:continuationSeparator/>
      </w:r>
    </w:p>
  </w:footnote>
  <w:footnote w:id="2">
    <w:p w:rsidR="00CD75F1" w:rsidRPr="00D01A5E" w:rsidRDefault="00CD75F1" w:rsidP="00D01A5E">
      <w:pPr>
        <w:pStyle w:val="FootnoteText"/>
        <w:ind w:firstLine="851"/>
        <w:jc w:val="both"/>
        <w:rPr>
          <w:rFonts w:ascii="Garamond" w:hAnsi="Garamond"/>
          <w:lang w:val="en-US"/>
        </w:rPr>
      </w:pPr>
      <w:r w:rsidRPr="00D01A5E">
        <w:rPr>
          <w:rStyle w:val="FootnoteReference"/>
          <w:rFonts w:ascii="Garamond" w:hAnsi="Garamond"/>
        </w:rPr>
        <w:footnoteRef/>
      </w:r>
      <w:r w:rsidRPr="00D01A5E">
        <w:rPr>
          <w:rFonts w:ascii="Garamond" w:hAnsi="Garamond"/>
        </w:rPr>
        <w:t xml:space="preserve"> </w:t>
      </w:r>
      <w:r w:rsidR="00071F8A" w:rsidRPr="00D01A5E">
        <w:rPr>
          <w:rFonts w:ascii="Garamond" w:hAnsi="Garamond"/>
        </w:rPr>
        <w:fldChar w:fldCharType="begin" w:fldLock="1"/>
      </w:r>
      <w:r w:rsidRPr="00D01A5E">
        <w:rPr>
          <w:rFonts w:ascii="Garamond" w:hAnsi="Garamond"/>
        </w:rPr>
        <w:instrText>ADDIN CSL_CITATION {"citationItems":[{"id":"ITEM-1","itemData":{"author":[{"dropping-particle":"","family":"Saumantri","given":"Theguh","non-dropping-particle":"","parse-names":false,"suffix":""}],"id":"ITEM-1","issued":{"date-parts":[["2022"]]},"publisher":"CV. Brimedia Global","publisher-place":"Bengkulu","title":"Filsafat Ilmu (Sebuah Dialektika Ilmu Pengetahuan)","type":"book"},"uris":["http://www.mendeley.com/documents/?uuid=cbfd342e-c7d2-44f3-a9b9-ccd8b67be836"]}],"mendeley":{"formattedCitation":"Theguh Saumantri, &lt;i&gt;Filsafat Ilmu (Sebuah Dialektika Ilmu Pengetahuan)&lt;/i&gt; (Bengkulu: CV. Brimedia Global, 2022).","plainTextFormattedCitation":"Theguh Saumantri, Filsafat Ilmu (Sebuah Dialektika Ilmu Pengetahuan) (Bengkulu: CV. Brimedia Global, 2022).","previouslyFormattedCitation":"Theguh Saumantri, &lt;i&gt;Filsafat Ilmu (Sebuah Dialektika Ilmu Pengetahuan)&lt;/i&gt; (Bengkulu: CV. Brimedia Global, 2022)."},"properties":{"noteIndex":1},"schema":"https://github.com/citation-style-language/schema/raw/master/csl-citation.json"}</w:instrText>
      </w:r>
      <w:r w:rsidR="00071F8A" w:rsidRPr="00D01A5E">
        <w:rPr>
          <w:rFonts w:ascii="Garamond" w:hAnsi="Garamond"/>
        </w:rPr>
        <w:fldChar w:fldCharType="separate"/>
      </w:r>
      <w:r w:rsidRPr="00D01A5E">
        <w:rPr>
          <w:rFonts w:ascii="Garamond" w:hAnsi="Garamond"/>
          <w:noProof/>
        </w:rPr>
        <w:t xml:space="preserve">Theguh Saumantri, </w:t>
      </w:r>
      <w:r w:rsidRPr="00D01A5E">
        <w:rPr>
          <w:rFonts w:ascii="Garamond" w:hAnsi="Garamond"/>
          <w:i/>
          <w:noProof/>
        </w:rPr>
        <w:t>Filsafat Ilmu (Sebuah Dialektika Ilmu Pengetahuan)</w:t>
      </w:r>
      <w:r w:rsidRPr="00D01A5E">
        <w:rPr>
          <w:rFonts w:ascii="Garamond" w:hAnsi="Garamond"/>
          <w:noProof/>
        </w:rPr>
        <w:t xml:space="preserve"> (Bengkulu: CV. Brimedia Global, 2022).</w:t>
      </w:r>
      <w:r w:rsidR="00071F8A" w:rsidRPr="00D01A5E">
        <w:rPr>
          <w:rFonts w:ascii="Garamond" w:hAnsi="Garamond"/>
        </w:rPr>
        <w:fldChar w:fldCharType="end"/>
      </w:r>
    </w:p>
  </w:footnote>
  <w:footnote w:id="3">
    <w:p w:rsidR="00CD75F1" w:rsidRPr="00D01A5E" w:rsidRDefault="00CD75F1" w:rsidP="00D01A5E">
      <w:pPr>
        <w:pStyle w:val="FootnoteText"/>
        <w:ind w:firstLine="851"/>
        <w:jc w:val="both"/>
        <w:rPr>
          <w:rFonts w:ascii="Garamond" w:hAnsi="Garamond"/>
          <w:lang w:val="en-US"/>
        </w:rPr>
      </w:pPr>
      <w:r w:rsidRPr="00D01A5E">
        <w:rPr>
          <w:rStyle w:val="FootnoteReference"/>
          <w:rFonts w:ascii="Garamond" w:hAnsi="Garamond"/>
        </w:rPr>
        <w:footnoteRef/>
      </w:r>
      <w:r w:rsidRPr="00D01A5E">
        <w:rPr>
          <w:rFonts w:ascii="Garamond" w:hAnsi="Garamond"/>
        </w:rPr>
        <w:t xml:space="preserve"> </w:t>
      </w:r>
      <w:r w:rsidR="00071F8A" w:rsidRPr="00D01A5E">
        <w:rPr>
          <w:rFonts w:ascii="Garamond" w:hAnsi="Garamond"/>
        </w:rPr>
        <w:fldChar w:fldCharType="begin" w:fldLock="1"/>
      </w:r>
      <w:r w:rsidR="008F6DEC" w:rsidRPr="00D01A5E">
        <w:rPr>
          <w:rFonts w:ascii="Garamond" w:hAnsi="Garamond"/>
        </w:rPr>
        <w:instrText>ADDIN CSL_CITATION {"citationItems":[{"id":"ITEM-1","itemData":{"DOI":"10.19105/karsa.v21i2.38","ISSN":"2442-4285","author":[{"dropping-particle":"","family":"Ariwidodo","given":"Eko","non-dropping-particle":"","parse-names":false,"suffix":""}],"container-title":"KARSA: Journal of Social and Islamic Culture","id":"ITEM-1","issue":"2","issued":{"date-parts":[["2013","12","5"]]},"page":"340","title":"Logosentrisme Jacques Derrida dalam Filsafat Bahasa","type":"article-journal","volume":"21"},"uris":["http://www.mendeley.com/documents/?uuid=46d78d99-5a33-4389-86fa-c8cb90e161b9"]}],"mendeley":{"formattedCitation":"Eko Ariwidodo, “Logosentrisme Jacques Derrida Dalam Filsafat Bahasa,” &lt;i&gt;KARSA: Journal of Social and Islamic Culture&lt;/i&gt; 21, no. 2 (December 5, 2013): 340, https://doi.org/10.19105/karsa.v21i2.38.","plainTextFormattedCitation":"Eko Ariwidodo, “Logosentrisme Jacques Derrida Dalam Filsafat Bahasa,” KARSA: Journal of Social and Islamic Culture 21, no. 2 (December 5, 2013): 340, https://doi.org/10.19105/karsa.v21i2.38.","previouslyFormattedCitation":"Eko Ariwidodo, “Logosentrisme Jacques Derrida Dalam Filsafat Bahasa,” &lt;i&gt;KARSA: Journal of Social and Islamic Culture&lt;/i&gt; 21, no. 2 (December 5, 2013): 340, https://doi.org/10.19105/karsa.v21i2.38."},"properties":{"noteIndex":2},"schema":"https://github.com/citation-style-language/schema/raw/master/csl-citation.json"}</w:instrText>
      </w:r>
      <w:r w:rsidR="00071F8A" w:rsidRPr="00D01A5E">
        <w:rPr>
          <w:rFonts w:ascii="Garamond" w:hAnsi="Garamond"/>
        </w:rPr>
        <w:fldChar w:fldCharType="separate"/>
      </w:r>
      <w:r w:rsidRPr="00D01A5E">
        <w:rPr>
          <w:rFonts w:ascii="Garamond" w:hAnsi="Garamond"/>
          <w:noProof/>
        </w:rPr>
        <w:t xml:space="preserve">Eko Ariwidodo, “Logosentrisme Jacques Derrida Dalam Filsafat Bahasa,” </w:t>
      </w:r>
      <w:r w:rsidRPr="00D01A5E">
        <w:rPr>
          <w:rFonts w:ascii="Garamond" w:hAnsi="Garamond"/>
          <w:i/>
          <w:noProof/>
        </w:rPr>
        <w:t>KARSA: Journal of Social and Islamic Culture</w:t>
      </w:r>
      <w:r w:rsidRPr="00D01A5E">
        <w:rPr>
          <w:rFonts w:ascii="Garamond" w:hAnsi="Garamond"/>
          <w:noProof/>
        </w:rPr>
        <w:t xml:space="preserve"> 21, no. 2 (December 5, 2013): 340, https://doi.org/10.19105/karsa.v21i2.38.</w:t>
      </w:r>
      <w:r w:rsidR="00071F8A" w:rsidRPr="00D01A5E">
        <w:rPr>
          <w:rFonts w:ascii="Garamond" w:hAnsi="Garamond"/>
        </w:rPr>
        <w:fldChar w:fldCharType="end"/>
      </w:r>
    </w:p>
  </w:footnote>
  <w:footnote w:id="4">
    <w:p w:rsidR="008F6DEC" w:rsidRPr="00D01A5E" w:rsidRDefault="008F6DEC" w:rsidP="00D01A5E">
      <w:pPr>
        <w:pStyle w:val="FootnoteText"/>
        <w:ind w:firstLine="851"/>
        <w:jc w:val="both"/>
        <w:rPr>
          <w:rFonts w:ascii="Garamond" w:hAnsi="Garamond"/>
          <w:lang w:val="en-US"/>
        </w:rPr>
      </w:pPr>
      <w:r w:rsidRPr="00D01A5E">
        <w:rPr>
          <w:rStyle w:val="FootnoteReference"/>
          <w:rFonts w:ascii="Garamond" w:hAnsi="Garamond"/>
        </w:rPr>
        <w:footnoteRef/>
      </w:r>
      <w:r w:rsidRPr="00D01A5E">
        <w:rPr>
          <w:rFonts w:ascii="Garamond" w:hAnsi="Garamond"/>
        </w:rPr>
        <w:t xml:space="preserve"> </w:t>
      </w:r>
      <w:r w:rsidR="00071F8A" w:rsidRPr="00D01A5E">
        <w:rPr>
          <w:rFonts w:ascii="Garamond" w:hAnsi="Garamond"/>
        </w:rPr>
        <w:fldChar w:fldCharType="begin" w:fldLock="1"/>
      </w:r>
      <w:r w:rsidRPr="00D01A5E">
        <w:rPr>
          <w:rFonts w:ascii="Garamond" w:hAnsi="Garamond"/>
        </w:rPr>
        <w:instrText>ADDIN CSL_CITATION {"citationItems":[{"id":"ITEM-1","itemData":{"DOI":"https://doi.org/10.3122/jak.v4i2.76","author":[{"dropping-particle":"","family":"Sartika","given":"Dewi","non-dropping-particle":"","parse-names":false,"suffix":""},{"dropping-particle":"","family":"Nasution","given":"Dwi Rizki Nabila","non-dropping-particle":"","parse-names":false,"suffix":""},{"dropping-particle":"","family":"Hijriyah","given":"","non-dropping-particle":"","parse-names":false,"suffix":""},{"dropping-particle":"","family":"Aisyah","given":"Siti Nur","non-dropping-particle":"","parse-names":false,"suffix":""}],"container-title":"Jurnal Akademika Kajian Ilmu-Ilmu Sosial, Humaniora Dan Agama","id":"ITEM-1","issue":"2","issued":{"date-parts":[["2023"]]},"page":"75–88","title":"Filsafat Timur dan Filsafat Barat (Sebuah Pengantar Perbedaan Kajian Filsafat)","type":"article-journal","volume":"4"},"uris":["http://www.mendeley.com/documents/?uuid=1bb125f6-1702-4ca6-bff1-a1857b958159"]}],"mendeley":{"formattedCitation":"Dewi Sartika et al., “Filsafat Timur Dan Filsafat Barat (Sebuah Pengantar Perbedaan Kajian Filsafat),” &lt;i&gt;Jurnal Akademika Kajian Ilmu-Ilmu Sosial, Humaniora Dan Agama&lt;/i&gt; 4, no. 2 (2023): 75–88, https://doi.org/https://doi.org/10.3122/jak.v4i2.76.","plainTextFormattedCitation":"Dewi Sartika et al., “Filsafat Timur Dan Filsafat Barat (Sebuah Pengantar Perbedaan Kajian Filsafat),” Jurnal Akademika Kajian Ilmu-Ilmu Sosial, Humaniora Dan Agama 4, no. 2 (2023): 75–88, https://doi.org/https://doi.org/10.3122/jak.v4i2.76.","previouslyFormattedCitation":"Dewi Sartika et al., “Filsafat Timur Dan Filsafat Barat (Sebuah Pengantar Perbedaan Kajian Filsafat),” &lt;i&gt;Jurnal Akademika Kajian Ilmu-Ilmu Sosial, Humaniora Dan Agama&lt;/i&gt; 4, no. 2 (2023): 75–88, https://doi.org/https://doi.org/10.3122/jak.v4i2.76."},"properties":{"noteIndex":3},"schema":"https://github.com/citation-style-language/schema/raw/master/csl-citation.json"}</w:instrText>
      </w:r>
      <w:r w:rsidR="00071F8A" w:rsidRPr="00D01A5E">
        <w:rPr>
          <w:rFonts w:ascii="Garamond" w:hAnsi="Garamond"/>
        </w:rPr>
        <w:fldChar w:fldCharType="separate"/>
      </w:r>
      <w:r w:rsidRPr="00D01A5E">
        <w:rPr>
          <w:rFonts w:ascii="Garamond" w:hAnsi="Garamond"/>
          <w:noProof/>
        </w:rPr>
        <w:t xml:space="preserve">Dewi Sartika et al., “Filsafat Timur Dan Filsafat Barat (Sebuah Pengantar Perbedaan Kajian Filsafat),” </w:t>
      </w:r>
      <w:r w:rsidRPr="00D01A5E">
        <w:rPr>
          <w:rFonts w:ascii="Garamond" w:hAnsi="Garamond"/>
          <w:i/>
          <w:noProof/>
        </w:rPr>
        <w:t>Jurnal Akademika Kajian Ilmu-Ilmu Sosial, Humaniora Dan Agama</w:t>
      </w:r>
      <w:r w:rsidRPr="00D01A5E">
        <w:rPr>
          <w:rFonts w:ascii="Garamond" w:hAnsi="Garamond"/>
          <w:noProof/>
        </w:rPr>
        <w:t xml:space="preserve"> 4, no. 2 (2023): 75–88, https://doi.org/https://doi.org/10.3122/jak.v4i2.76.</w:t>
      </w:r>
      <w:r w:rsidR="00071F8A" w:rsidRPr="00D01A5E">
        <w:rPr>
          <w:rFonts w:ascii="Garamond" w:hAnsi="Garamond"/>
        </w:rPr>
        <w:fldChar w:fldCharType="end"/>
      </w:r>
    </w:p>
  </w:footnote>
  <w:footnote w:id="5">
    <w:p w:rsidR="008F6DEC" w:rsidRPr="00D01A5E" w:rsidRDefault="008F6DEC" w:rsidP="00D01A5E">
      <w:pPr>
        <w:pStyle w:val="FootnoteText"/>
        <w:ind w:firstLine="851"/>
        <w:jc w:val="both"/>
        <w:rPr>
          <w:rFonts w:ascii="Garamond" w:hAnsi="Garamond"/>
          <w:lang w:val="en-US"/>
        </w:rPr>
      </w:pPr>
      <w:r w:rsidRPr="00D01A5E">
        <w:rPr>
          <w:rStyle w:val="FootnoteReference"/>
          <w:rFonts w:ascii="Garamond" w:hAnsi="Garamond"/>
        </w:rPr>
        <w:footnoteRef/>
      </w:r>
      <w:r w:rsidRPr="00D01A5E">
        <w:rPr>
          <w:rFonts w:ascii="Garamond" w:hAnsi="Garamond"/>
        </w:rPr>
        <w:t xml:space="preserve"> </w:t>
      </w:r>
      <w:r w:rsidR="00071F8A" w:rsidRPr="00D01A5E">
        <w:rPr>
          <w:rFonts w:ascii="Garamond" w:hAnsi="Garamond"/>
        </w:rPr>
        <w:fldChar w:fldCharType="begin" w:fldLock="1"/>
      </w:r>
      <w:r w:rsidR="00DE1751" w:rsidRPr="00D01A5E">
        <w:rPr>
          <w:rFonts w:ascii="Garamond" w:hAnsi="Garamond"/>
        </w:rPr>
        <w:instrText>ADDIN CSL_CITATION {"citationItems":[{"id":"ITEM-1","itemData":{"DOI":"10.15294/jpi.v1i2.6583","ISSN":"2503-4456","abstract":"This study examines the correlation between Islamic doctrine of the concept of state and government system with the ambition of some Muslims to revive sharia values in a country. Literature research methodology is employed to explore ideas of Islamic political thinkers, ranging from classical and medieval, era such as al-Farabi, al-Mawardi, Ibn Taymiyyah, to the modern era and contemporary scholars, such as al-Attas, Fazlur Rahman, and Arkoun. The validity of the democratic system and the form of an ideal state for Muslims are debatable among Muslim scholars. The concept of civil society that becomes a manifestation of civil society is believed to have been practiced in the historical period of Islamic government.","author":[{"dropping-particle":"","family":"Zulifan","given":"Muhammad","non-dropping-particle":"","parse-names":false,"suffix":""}],"container-title":"Politik Indonesia: Indonesian Political Science Review","id":"ITEM-1","issue":"2","issued":{"date-parts":[["2016","7","15"]]},"page":"171-195","title":"Politik Islam di Indonesia: Ideologi, Transformasi dan Prospek dalam Proses Politik Terkini","type":"article-journal","volume":"1"},"uris":["http://www.mendeley.com/documents/?uuid=d86c0742-4a52-4b4e-a50f-07a1d6766907"]}],"mendeley":{"formattedCitation":"Muhammad Zulifan, “Politik Islam Di Indonesia: Ideologi, Transformasi Dan Prospek Dalam Proses Politik Terkini,” &lt;i&gt;Politik Indonesia: Indonesian Political Science Review&lt;/i&gt; 1, no. 2 (July 15, 2016): 171–95, https://doi.org/10.15294/jpi.v1i2.6583.","plainTextFormattedCitation":"Muhammad Zulifan, “Politik Islam Di Indonesia: Ideologi, Transformasi Dan Prospek Dalam Proses Politik Terkini,” Politik Indonesia: Indonesian Political Science Review 1, no. 2 (July 15, 2016): 171–95, https://doi.org/10.15294/jpi.v1i2.6583.","previouslyFormattedCitation":"Muhammad Zulifan, “Politik Islam Di Indonesia: Ideologi, Transformasi Dan Prospek Dalam Proses Politik Terkini,” &lt;i&gt;Politik Indonesia: Indonesian Political Science Review&lt;/i&gt; 1, no. 2 (July 15, 2016): 171–95, https://doi.org/10.15294/jpi.v1i2.6583."},"properties":{"noteIndex":4},"schema":"https://github.com/citation-style-language/schema/raw/master/csl-citation.json"}</w:instrText>
      </w:r>
      <w:r w:rsidR="00071F8A" w:rsidRPr="00D01A5E">
        <w:rPr>
          <w:rFonts w:ascii="Garamond" w:hAnsi="Garamond"/>
        </w:rPr>
        <w:fldChar w:fldCharType="separate"/>
      </w:r>
      <w:r w:rsidRPr="00D01A5E">
        <w:rPr>
          <w:rFonts w:ascii="Garamond" w:hAnsi="Garamond"/>
          <w:noProof/>
        </w:rPr>
        <w:t xml:space="preserve">Muhammad Zulifan, “Politik Islam Di Indonesia: Ideologi, Transformasi Dan Prospek Dalam Proses Politik Terkini,” </w:t>
      </w:r>
      <w:r w:rsidRPr="00D01A5E">
        <w:rPr>
          <w:rFonts w:ascii="Garamond" w:hAnsi="Garamond"/>
          <w:i/>
          <w:noProof/>
        </w:rPr>
        <w:t>Politik Indonesia: Indonesian Political Science Review</w:t>
      </w:r>
      <w:r w:rsidRPr="00D01A5E">
        <w:rPr>
          <w:rFonts w:ascii="Garamond" w:hAnsi="Garamond"/>
          <w:noProof/>
        </w:rPr>
        <w:t xml:space="preserve"> 1, no. 2 (July 15, 2016): 171–95, https://doi.org/10.15294/jpi.v1i2.6583.</w:t>
      </w:r>
      <w:r w:rsidR="00071F8A" w:rsidRPr="00D01A5E">
        <w:rPr>
          <w:rFonts w:ascii="Garamond" w:hAnsi="Garamond"/>
        </w:rPr>
        <w:fldChar w:fldCharType="end"/>
      </w:r>
    </w:p>
  </w:footnote>
  <w:footnote w:id="6">
    <w:p w:rsidR="00DE1751" w:rsidRPr="00D01A5E" w:rsidRDefault="00DE1751" w:rsidP="00D01A5E">
      <w:pPr>
        <w:pStyle w:val="FootnoteText"/>
        <w:ind w:firstLine="851"/>
        <w:jc w:val="both"/>
        <w:rPr>
          <w:rFonts w:ascii="Garamond" w:hAnsi="Garamond"/>
          <w:lang w:val="en-US"/>
        </w:rPr>
      </w:pPr>
      <w:r w:rsidRPr="00D01A5E">
        <w:rPr>
          <w:rStyle w:val="FootnoteReference"/>
          <w:rFonts w:ascii="Garamond" w:hAnsi="Garamond"/>
        </w:rPr>
        <w:footnoteRef/>
      </w:r>
      <w:r w:rsidRPr="00D01A5E">
        <w:rPr>
          <w:rFonts w:ascii="Garamond" w:hAnsi="Garamond"/>
        </w:rPr>
        <w:t xml:space="preserve"> </w:t>
      </w:r>
      <w:r w:rsidR="00071F8A" w:rsidRPr="00D01A5E">
        <w:rPr>
          <w:rFonts w:ascii="Garamond" w:hAnsi="Garamond"/>
        </w:rPr>
        <w:fldChar w:fldCharType="begin" w:fldLock="1"/>
      </w:r>
      <w:r w:rsidRPr="00D01A5E">
        <w:rPr>
          <w:rFonts w:ascii="Garamond" w:hAnsi="Garamond"/>
        </w:rPr>
        <w:instrText>ADDIN CSL_CITATION {"citationItems":[{"id":"ITEM-1","itemData":{"DOI":"10.59757/sharia.v2i1.57","ISSN":"2828-402X","abstract":"Studi Islam merupakan bidang kajian yang mencakup berbagai dimensi kehidupan umat manusia, mulai dari aspek spiritual hingga sosial-politik. Pendekatan filsafat menawarkan perspektif yang unik dan mendalam untuk memahami ajaran Islam, dengan mengintegrasikan akal, wahyu, dan realitas. Artikel ini mengkaji konsep dasar, urgensi, dan karakteristik pendekatan filsafat dalam studi Islam, serta perannya dalam menjawab tantangan kontemporer. Melalui tinjauan historis, pendekatan ini terbukti memberikan kontribusi signifikan dalam memadukan pemikiran kritis dan nilai-nilai etis Islam. Model pendekatan seperti hermeneutika, teologi-filosofis, dan tafsir falsafi dianalisis untuk menunjukkan relevansi filsafat dalam menjembatani dialog antara tradisi keilmuan dan kebutuhan masyarakat modern. Artikel ini menekankan pentingnya pendekatan filsafat dalam memperluas wawasan dan relevansi studi Islam, baik dalam ranah akademis maupun praktik kehidupan sehari-hari. Dengan demikian, filsafat tidak hanya menjadi metode analisis, tetapi juga sarana untuk memahami Islam secara lebih inklusif, rasional, dan kontekstual.","author":[{"dropping-particle":"","family":"Masaroh","given":"Safi'atullaila","non-dropping-particle":"","parse-names":false,"suffix":""},{"dropping-particle":"","family":"Abdul Ramadhoni","given":"Muhammad","non-dropping-particle":"","parse-names":false,"suffix":""},{"dropping-particle":"","family":"Ikhsanul Amin","given":"Muhammad","non-dropping-particle":"","parse-names":false,"suffix":""}],"container-title":"Sharia: Jurnal Kajian Islam","id":"ITEM-1","issue":"1","issued":{"date-parts":[["2025","3","15"]]},"page":"14-24","title":"Eksplorasi Filsafat Dalam Studi Islam: Konsep dan Konteks","type":"article-journal","volume":"2"},"uris":["http://www.mendeley.com/documents/?uuid=e4f7fae8-c8b3-42c0-bfd3-4d30818c7016"]}],"mendeley":{"formattedCitation":"Safi’atullaila Masaroh, Muhammad Abdul Ramadhoni, and Muhammad Ikhsanul Amin, “Eksplorasi Filsafat Dalam Studi Islam: Konsep Dan Konteks,” &lt;i&gt;Sharia: Jurnal Kajian Islam&lt;/i&gt; 2, no. 1 (March 15, 2025): 14–24, https://doi.org/10.59757/sharia.v2i1.57.","plainTextFormattedCitation":"Safi’atullaila Masaroh, Muhammad Abdul Ramadhoni, and Muhammad Ikhsanul Amin, “Eksplorasi Filsafat Dalam Studi Islam: Konsep Dan Konteks,” Sharia: Jurnal Kajian Islam 2, no. 1 (March 15, 2025): 14–24, https://doi.org/10.59757/sharia.v2i1.57.","previouslyFormattedCitation":"Safi’atullaila Masaroh, Muhammad Abdul Ramadhoni, and Muhammad Ikhsanul Amin, “Eksplorasi Filsafat Dalam Studi Islam: Konsep Dan Konteks,” &lt;i&gt;Sharia: Jurnal Kajian Islam&lt;/i&gt; 2, no. 1 (March 15, 2025): 14–24, https://doi.org/10.59757/sharia.v2i1.57."},"properties":{"noteIndex":5},"schema":"https://github.com/citation-style-language/schema/raw/master/csl-citation.json"}</w:instrText>
      </w:r>
      <w:r w:rsidR="00071F8A" w:rsidRPr="00D01A5E">
        <w:rPr>
          <w:rFonts w:ascii="Garamond" w:hAnsi="Garamond"/>
        </w:rPr>
        <w:fldChar w:fldCharType="separate"/>
      </w:r>
      <w:r w:rsidRPr="00D01A5E">
        <w:rPr>
          <w:rFonts w:ascii="Garamond" w:hAnsi="Garamond"/>
          <w:noProof/>
        </w:rPr>
        <w:t xml:space="preserve">Safi’atullaila Masaroh, Muhammad Abdul Ramadhoni, and Muhammad Ikhsanul Amin, “Eksplorasi Filsafat Dalam Studi Islam: Konsep Dan Konteks,” </w:t>
      </w:r>
      <w:r w:rsidRPr="00D01A5E">
        <w:rPr>
          <w:rFonts w:ascii="Garamond" w:hAnsi="Garamond"/>
          <w:i/>
          <w:noProof/>
        </w:rPr>
        <w:t>Sharia: Jurnal Kajian Islam</w:t>
      </w:r>
      <w:r w:rsidRPr="00D01A5E">
        <w:rPr>
          <w:rFonts w:ascii="Garamond" w:hAnsi="Garamond"/>
          <w:noProof/>
        </w:rPr>
        <w:t xml:space="preserve"> 2, no. 1 (March 15, 2025): 14–24, https://doi.org/10.59757/sharia.v2i1.57.</w:t>
      </w:r>
      <w:r w:rsidR="00071F8A" w:rsidRPr="00D01A5E">
        <w:rPr>
          <w:rFonts w:ascii="Garamond" w:hAnsi="Garamond"/>
        </w:rPr>
        <w:fldChar w:fldCharType="end"/>
      </w:r>
    </w:p>
  </w:footnote>
  <w:footnote w:id="7">
    <w:p w:rsidR="00DE1751" w:rsidRPr="00D01A5E" w:rsidRDefault="00DE1751" w:rsidP="00D01A5E">
      <w:pPr>
        <w:pStyle w:val="FootnoteText"/>
        <w:ind w:firstLine="851"/>
        <w:jc w:val="both"/>
        <w:rPr>
          <w:rFonts w:ascii="Garamond" w:hAnsi="Garamond"/>
          <w:lang w:val="en-US"/>
        </w:rPr>
      </w:pPr>
      <w:r w:rsidRPr="00D01A5E">
        <w:rPr>
          <w:rStyle w:val="FootnoteReference"/>
          <w:rFonts w:ascii="Garamond" w:hAnsi="Garamond"/>
        </w:rPr>
        <w:footnoteRef/>
      </w:r>
      <w:r w:rsidRPr="00D01A5E">
        <w:rPr>
          <w:rFonts w:ascii="Garamond" w:hAnsi="Garamond"/>
        </w:rPr>
        <w:t xml:space="preserve"> </w:t>
      </w:r>
      <w:r w:rsidR="00071F8A" w:rsidRPr="00D01A5E">
        <w:rPr>
          <w:rFonts w:ascii="Garamond" w:hAnsi="Garamond"/>
        </w:rPr>
        <w:fldChar w:fldCharType="begin" w:fldLock="1"/>
      </w:r>
      <w:r w:rsidRPr="00D01A5E">
        <w:rPr>
          <w:rFonts w:ascii="Garamond" w:hAnsi="Garamond"/>
        </w:rPr>
        <w:instrText>ADDIN CSL_CITATION {"citationItems":[{"id":"ITEM-1","itemData":{"abstract":"Predicting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approach.","author":[{"dropping-particle":"","family":"Abarca","given":"Roberto Maldonado","non-dropping-particle":"","parse-names":false,"suffix":""}],"container-title":"Nuevos sistemas de comunicación e información","id":"ITEM-1","issued":{"date-parts":[["2021"]]},"page":"2013-2015","title":"Konsep Filsafat Ilmu Barat","type":"article-journal"},"uris":["http://www.mendeley.com/documents/?uuid=5a31aa72-75c8-46cd-bb2a-1f2e02af44e9"]}],"mendeley":{"formattedCitation":"Roberto Maldonado Abarca, “Konsep Filsafat Ilmu Barat,” &lt;i&gt;Nuevos Sistemas de Comunicación e Información&lt;/i&gt;, 2021, 2013–15.","plainTextFormattedCitation":"Roberto Maldonado Abarca, “Konsep Filsafat Ilmu Barat,” Nuevos Sistemas de Comunicación e Información, 2021, 2013–15.","previouslyFormattedCitation":"Roberto Maldonado Abarca, “Konsep Filsafat Ilmu Barat,” &lt;i&gt;Nuevos Sistemas de Comunicación e Información&lt;/i&gt;, 2021, 2013–15."},"properties":{"noteIndex":6},"schema":"https://github.com/citation-style-language/schema/raw/master/csl-citation.json"}</w:instrText>
      </w:r>
      <w:r w:rsidR="00071F8A" w:rsidRPr="00D01A5E">
        <w:rPr>
          <w:rFonts w:ascii="Garamond" w:hAnsi="Garamond"/>
        </w:rPr>
        <w:fldChar w:fldCharType="separate"/>
      </w:r>
      <w:r w:rsidRPr="00D01A5E">
        <w:rPr>
          <w:rFonts w:ascii="Garamond" w:hAnsi="Garamond"/>
          <w:noProof/>
        </w:rPr>
        <w:t xml:space="preserve">Roberto Maldonado Abarca, “Konsep Filsafat Ilmu Barat,” </w:t>
      </w:r>
      <w:r w:rsidRPr="00D01A5E">
        <w:rPr>
          <w:rFonts w:ascii="Garamond" w:hAnsi="Garamond"/>
          <w:i/>
          <w:noProof/>
        </w:rPr>
        <w:t>Nuevos Sistemas de Comunicación e Información</w:t>
      </w:r>
      <w:r w:rsidRPr="00D01A5E">
        <w:rPr>
          <w:rFonts w:ascii="Garamond" w:hAnsi="Garamond"/>
          <w:noProof/>
        </w:rPr>
        <w:t>, 2021, 2013–15.</w:t>
      </w:r>
      <w:r w:rsidR="00071F8A" w:rsidRPr="00D01A5E">
        <w:rPr>
          <w:rFonts w:ascii="Garamond" w:hAnsi="Garamond"/>
        </w:rPr>
        <w:fldChar w:fldCharType="end"/>
      </w:r>
    </w:p>
  </w:footnote>
  <w:footnote w:id="8">
    <w:p w:rsidR="00DE1751" w:rsidRPr="00D01A5E" w:rsidRDefault="00DE1751" w:rsidP="00D01A5E">
      <w:pPr>
        <w:pStyle w:val="FootnoteText"/>
        <w:ind w:firstLine="851"/>
        <w:jc w:val="both"/>
        <w:rPr>
          <w:rFonts w:ascii="Garamond" w:hAnsi="Garamond"/>
          <w:lang w:val="en-US"/>
        </w:rPr>
      </w:pPr>
      <w:r w:rsidRPr="00D01A5E">
        <w:rPr>
          <w:rStyle w:val="FootnoteReference"/>
          <w:rFonts w:ascii="Garamond" w:hAnsi="Garamond"/>
        </w:rPr>
        <w:footnoteRef/>
      </w:r>
      <w:r w:rsidRPr="00D01A5E">
        <w:rPr>
          <w:rFonts w:ascii="Garamond" w:hAnsi="Garamond"/>
        </w:rPr>
        <w:t xml:space="preserve"> </w:t>
      </w:r>
      <w:r w:rsidR="00071F8A" w:rsidRPr="00D01A5E">
        <w:rPr>
          <w:rFonts w:ascii="Garamond" w:hAnsi="Garamond"/>
        </w:rPr>
        <w:fldChar w:fldCharType="begin" w:fldLock="1"/>
      </w:r>
      <w:r w:rsidR="00512CB1" w:rsidRPr="00D01A5E">
        <w:rPr>
          <w:rFonts w:ascii="Garamond" w:hAnsi="Garamond"/>
        </w:rPr>
        <w:instrText>ADDIN CSL_CITATION {"citationItems":[{"id":"ITEM-1","itemData":{"author":[{"dropping-particle":"","family":"Gadamer","given":"Hans-Georg","non-dropping-particle":"","parse-names":false,"suffix":""}],"id":"ITEM-1","issued":{"date-parts":[["2006"]]},"publisher":"Continuum","publisher-place":"London","title":"Truth and Method","translator":[{"dropping-particle":"","family":"Weinsheimer","given":"Joel","non-dropping-particle":"","parse-names":false,"suffix":""},{"dropping-particle":"","family":"Marshall","given":"Donald G.","non-dropping-particle":"","parse-names":false,"suffix":""}],"type":"book"},"uris":["http://www.mendeley.com/documents/?uuid=ee49db07-e150-4894-8b34-84458a17cf3a"]}],"mendeley":{"formattedCitation":"Hans-Georg Gadamer, &lt;i&gt;Truth and Method&lt;/i&gt;, trans. Joel Weinsheimer and Donald G. Marshall (London: Continuum, 2006).","plainTextFormattedCitation":"Hans-Georg Gadamer, Truth and Method, trans. Joel Weinsheimer and Donald G. Marshall (London: Continuum, 2006).","previouslyFormattedCitation":"Hans-Georg Gadamer, &lt;i&gt;Truth and Method&lt;/i&gt;, trans. Joel Weinsheimer and Donald G. Marshall (London: Continuum, 2006)."},"properties":{"noteIndex":7},"schema":"https://github.com/citation-style-language/schema/raw/master/csl-citation.json"}</w:instrText>
      </w:r>
      <w:r w:rsidR="00071F8A" w:rsidRPr="00D01A5E">
        <w:rPr>
          <w:rFonts w:ascii="Garamond" w:hAnsi="Garamond"/>
        </w:rPr>
        <w:fldChar w:fldCharType="separate"/>
      </w:r>
      <w:r w:rsidRPr="00D01A5E">
        <w:rPr>
          <w:rFonts w:ascii="Garamond" w:hAnsi="Garamond"/>
          <w:noProof/>
        </w:rPr>
        <w:t xml:space="preserve">Hans-Georg Gadamer, </w:t>
      </w:r>
      <w:r w:rsidRPr="00D01A5E">
        <w:rPr>
          <w:rFonts w:ascii="Garamond" w:hAnsi="Garamond"/>
          <w:i/>
          <w:noProof/>
        </w:rPr>
        <w:t>Truth and Method</w:t>
      </w:r>
      <w:r w:rsidRPr="00D01A5E">
        <w:rPr>
          <w:rFonts w:ascii="Garamond" w:hAnsi="Garamond"/>
          <w:noProof/>
        </w:rPr>
        <w:t>, trans. Joel Weinsheimer and Donald G. Marshall (London: Continuum, 2006).</w:t>
      </w:r>
      <w:r w:rsidR="00071F8A" w:rsidRPr="00D01A5E">
        <w:rPr>
          <w:rFonts w:ascii="Garamond" w:hAnsi="Garamond"/>
        </w:rPr>
        <w:fldChar w:fldCharType="end"/>
      </w:r>
    </w:p>
  </w:footnote>
  <w:footnote w:id="9">
    <w:p w:rsidR="00512CB1" w:rsidRPr="00D01A5E" w:rsidRDefault="00512CB1" w:rsidP="00D01A5E">
      <w:pPr>
        <w:pStyle w:val="FootnoteText"/>
        <w:ind w:firstLine="851"/>
        <w:jc w:val="both"/>
        <w:rPr>
          <w:rFonts w:ascii="Garamond" w:hAnsi="Garamond"/>
          <w:lang w:val="en-US"/>
        </w:rPr>
      </w:pPr>
      <w:r w:rsidRPr="00D01A5E">
        <w:rPr>
          <w:rStyle w:val="FootnoteReference"/>
          <w:rFonts w:ascii="Garamond" w:hAnsi="Garamond"/>
        </w:rPr>
        <w:footnoteRef/>
      </w:r>
      <w:r w:rsidRPr="00D01A5E">
        <w:rPr>
          <w:rFonts w:ascii="Garamond" w:hAnsi="Garamond"/>
        </w:rPr>
        <w:t xml:space="preserve"> </w:t>
      </w:r>
      <w:r w:rsidR="00071F8A" w:rsidRPr="00D01A5E">
        <w:rPr>
          <w:rFonts w:ascii="Garamond" w:hAnsi="Garamond"/>
        </w:rPr>
        <w:fldChar w:fldCharType="begin" w:fldLock="1"/>
      </w:r>
      <w:r w:rsidRPr="00D01A5E">
        <w:rPr>
          <w:rFonts w:ascii="Garamond" w:hAnsi="Garamond"/>
        </w:rPr>
        <w:instrText>ADDIN CSL_CITATION {"citationItems":[{"id":"ITEM-1","itemData":{"DOI":"10.1080/09608788.2016.1214908","ISSN":"0960-8788","author":[{"dropping-particle":"","family":"Hatfield","given":"Gary","non-dropping-particle":"","parse-names":false,"suffix":""}],"container-title":"British Journal for the History of Philosophy","id":"ITEM-1","issue":"3","issued":{"date-parts":[["2017","5","4"]]},"page":"443-464","title":"Descartes: new thoughts on the senses","type":"article-journal","volume":"25"},"uris":["http://www.mendeley.com/documents/?uuid=44e0a3f1-a0f6-4c07-bc45-ee21a2d640d4"]}],"mendeley":{"formattedCitation":"Gary Hatfield, “Descartes: New Thoughts on the Senses,” &lt;i&gt;British Journal for the History of Philosophy&lt;/i&gt; 25, no. 3 (May 4, 2017): 443–64, https://doi.org/10.1080/09608788.2016.1214908.","plainTextFormattedCitation":"Gary Hatfield, “Descartes: New Thoughts on the Senses,” British Journal for the History of Philosophy 25, no. 3 (May 4, 2017): 443–64, https://doi.org/10.1080/09608788.2016.1214908.","previouslyFormattedCitation":"Gary Hatfield, “Descartes: New Thoughts on the Senses,” &lt;i&gt;British Journal for the History of Philosophy&lt;/i&gt; 25, no. 3 (May 4, 2017): 443–64, https://doi.org/10.1080/09608788.2016.1214908."},"properties":{"noteIndex":8},"schema":"https://github.com/citation-style-language/schema/raw/master/csl-citation.json"}</w:instrText>
      </w:r>
      <w:r w:rsidR="00071F8A" w:rsidRPr="00D01A5E">
        <w:rPr>
          <w:rFonts w:ascii="Garamond" w:hAnsi="Garamond"/>
        </w:rPr>
        <w:fldChar w:fldCharType="separate"/>
      </w:r>
      <w:r w:rsidRPr="00D01A5E">
        <w:rPr>
          <w:rFonts w:ascii="Garamond" w:hAnsi="Garamond"/>
          <w:noProof/>
        </w:rPr>
        <w:t xml:space="preserve">Gary Hatfield, “Descartes: New Thoughts on the Senses,” </w:t>
      </w:r>
      <w:r w:rsidRPr="00D01A5E">
        <w:rPr>
          <w:rFonts w:ascii="Garamond" w:hAnsi="Garamond"/>
          <w:i/>
          <w:noProof/>
        </w:rPr>
        <w:t>British Journal for the History of Philosophy</w:t>
      </w:r>
      <w:r w:rsidRPr="00D01A5E">
        <w:rPr>
          <w:rFonts w:ascii="Garamond" w:hAnsi="Garamond"/>
          <w:noProof/>
        </w:rPr>
        <w:t xml:space="preserve"> 25, no. 3 (May 4, 2017): 443–64, https://doi.org/10.1080/09608788.2016.1214908.</w:t>
      </w:r>
      <w:r w:rsidR="00071F8A" w:rsidRPr="00D01A5E">
        <w:rPr>
          <w:rFonts w:ascii="Garamond" w:hAnsi="Garamond"/>
        </w:rPr>
        <w:fldChar w:fldCharType="end"/>
      </w:r>
    </w:p>
  </w:footnote>
  <w:footnote w:id="10">
    <w:p w:rsidR="00512CB1" w:rsidRPr="00D01A5E" w:rsidRDefault="00512CB1" w:rsidP="00D01A5E">
      <w:pPr>
        <w:pStyle w:val="FootnoteText"/>
        <w:ind w:firstLine="851"/>
        <w:jc w:val="both"/>
        <w:rPr>
          <w:rFonts w:ascii="Garamond" w:hAnsi="Garamond"/>
          <w:lang w:val="en-US"/>
        </w:rPr>
      </w:pPr>
      <w:r w:rsidRPr="00D01A5E">
        <w:rPr>
          <w:rStyle w:val="FootnoteReference"/>
          <w:rFonts w:ascii="Garamond" w:hAnsi="Garamond"/>
        </w:rPr>
        <w:footnoteRef/>
      </w:r>
      <w:r w:rsidRPr="00D01A5E">
        <w:rPr>
          <w:rFonts w:ascii="Garamond" w:hAnsi="Garamond"/>
        </w:rPr>
        <w:t xml:space="preserve"> </w:t>
      </w:r>
      <w:r w:rsidR="00071F8A" w:rsidRPr="00D01A5E">
        <w:rPr>
          <w:rFonts w:ascii="Garamond" w:hAnsi="Garamond"/>
        </w:rPr>
        <w:fldChar w:fldCharType="begin" w:fldLock="1"/>
      </w:r>
      <w:r w:rsidR="00EC5E4D" w:rsidRPr="00D01A5E">
        <w:rPr>
          <w:rFonts w:ascii="Garamond" w:hAnsi="Garamond"/>
        </w:rPr>
        <w:instrText>ADDIN CSL_CITATION {"citationItems":[{"id":"ITEM-1","itemData":{"DOI":"10.2307/2178367","ISSN":"00318108","author":[{"dropping-particle":"","family":"Creighton","given":"J. E.","non-dropping-particle":"","parse-names":false,"suffix":""}],"container-title":"The Philosophical Review","id":"ITEM-1","issue":"2","issued":{"date-parts":[["2016","3"]]},"page":"133-145","title":"The Copernican Revolution in Philosophy","type":"article-journal","volume":"22"},"uris":["http://www.mendeley.com/documents/?uuid=93d75eaa-36cf-4f56-94b1-5b1385e88253"]}],"mendeley":{"formattedCitation":"J. E. Creighton, “The Copernican Revolution in Philosophy,” &lt;i&gt;The Philosophical Review&lt;/i&gt; 22, no. 2 (March 2016): 133–45, https://doi.org/10.2307/2178367.","plainTextFormattedCitation":"J. E. Creighton, “The Copernican Revolution in Philosophy,” The Philosophical Review 22, no. 2 (March 2016): 133–45, https://doi.org/10.2307/2178367.","previouslyFormattedCitation":"J. E. Creighton, “The Copernican Revolution in Philosophy,” &lt;i&gt;The Philosophical Review&lt;/i&gt; 22, no. 2 (March 2016): 133–45, https://doi.org/10.2307/2178367."},"properties":{"noteIndex":9},"schema":"https://github.com/citation-style-language/schema/raw/master/csl-citation.json"}</w:instrText>
      </w:r>
      <w:r w:rsidR="00071F8A" w:rsidRPr="00D01A5E">
        <w:rPr>
          <w:rFonts w:ascii="Garamond" w:hAnsi="Garamond"/>
        </w:rPr>
        <w:fldChar w:fldCharType="separate"/>
      </w:r>
      <w:r w:rsidRPr="00D01A5E">
        <w:rPr>
          <w:rFonts w:ascii="Garamond" w:hAnsi="Garamond"/>
          <w:noProof/>
        </w:rPr>
        <w:t xml:space="preserve">J. E. Creighton, “The Copernican Revolution in Philosophy,” </w:t>
      </w:r>
      <w:r w:rsidRPr="00D01A5E">
        <w:rPr>
          <w:rFonts w:ascii="Garamond" w:hAnsi="Garamond"/>
          <w:i/>
          <w:noProof/>
        </w:rPr>
        <w:t>The Philosophical Review</w:t>
      </w:r>
      <w:r w:rsidRPr="00D01A5E">
        <w:rPr>
          <w:rFonts w:ascii="Garamond" w:hAnsi="Garamond"/>
          <w:noProof/>
        </w:rPr>
        <w:t xml:space="preserve"> 22, no. 2 (March 2016): 133–45, https://doi.org/10.2307/2178367.</w:t>
      </w:r>
      <w:r w:rsidR="00071F8A" w:rsidRPr="00D01A5E">
        <w:rPr>
          <w:rFonts w:ascii="Garamond" w:hAnsi="Garamond"/>
        </w:rPr>
        <w:fldChar w:fldCharType="end"/>
      </w:r>
    </w:p>
  </w:footnote>
  <w:footnote w:id="11">
    <w:p w:rsidR="00EC5E4D" w:rsidRPr="00D01A5E" w:rsidRDefault="00EC5E4D" w:rsidP="00D01A5E">
      <w:pPr>
        <w:pStyle w:val="FootnoteText"/>
        <w:ind w:firstLine="851"/>
        <w:jc w:val="both"/>
        <w:rPr>
          <w:rFonts w:ascii="Garamond" w:hAnsi="Garamond"/>
          <w:lang w:val="en-US"/>
        </w:rPr>
      </w:pPr>
      <w:r w:rsidRPr="00D01A5E">
        <w:rPr>
          <w:rStyle w:val="FootnoteReference"/>
          <w:rFonts w:ascii="Garamond" w:hAnsi="Garamond"/>
        </w:rPr>
        <w:footnoteRef/>
      </w:r>
      <w:r w:rsidRPr="00D01A5E">
        <w:rPr>
          <w:rFonts w:ascii="Garamond" w:hAnsi="Garamond"/>
        </w:rPr>
        <w:t xml:space="preserve"> </w:t>
      </w:r>
      <w:r w:rsidR="00071F8A" w:rsidRPr="00D01A5E">
        <w:rPr>
          <w:rFonts w:ascii="Garamond" w:hAnsi="Garamond"/>
        </w:rPr>
        <w:fldChar w:fldCharType="begin" w:fldLock="1"/>
      </w:r>
      <w:r w:rsidRPr="00D01A5E">
        <w:rPr>
          <w:rFonts w:ascii="Garamond" w:hAnsi="Garamond"/>
        </w:rPr>
        <w:instrText>ADDIN CSL_CITATION {"citationItems":[{"id":"ITEM-1","itemData":{"DOI":"10.71305/jmpi.v2i1.48","ISSN":"2988-2141","abstract":"Islam pays great attention to epistemology by trying to combine knowledge that comes from revelation with knowledge obtained through human reason. Divine knowledge, given through revelation in the Koran and Hadith, is harmonized with knowledge obtained through human reason. Muslim philosophers and scholars have attempted to unite these two sources of knowledge to create a complete understanding. This research uses a qualitative approach using library research. The aim of this article is to explore and analyze aspects of epistemology in Islamic philosophy and their implications for the development of philosophical thought in the Islamic world. The results of this research show that bayani focuses on textual understanding, irfani on intuitive and mystical knowledge, while burhani emphasizes a rational and logical approach. These three aspects together create a comprehensive epistemological framework in the Islamic intellectual tradition, offering a holistic and integrative view of knowledge","author":[{"dropping-particle":"","family":"Alkhadafi","given":"Rahmad","non-dropping-particle":"","parse-names":false,"suffix":""}],"container-title":"JMPI: Jurnal Manajemen, Pendidikan dan Pemikiran Islam","id":"ITEM-1","issue":"1","issued":{"date-parts":[["2024","6","30"]]},"page":"34-41","title":"Epistemologi Filsafat Islam","type":"article-journal","volume":"2"},"uris":["http://www.mendeley.com/documents/?uuid=64db6849-afa9-4a90-a7e2-ceb868b20d35"]}],"mendeley":{"formattedCitation":"Rahmad Alkhadafi, “Epistemologi Filsafat Islam,” &lt;i&gt;JMPI: Jurnal Manajemen, Pendidikan Dan Pemikiran Islam&lt;/i&gt; 2, no. 1 (June 30, 2024): 34–41, https://doi.org/10.71305/jmpi.v2i1.48.","plainTextFormattedCitation":"Rahmad Alkhadafi, “Epistemologi Filsafat Islam,” JMPI: Jurnal Manajemen, Pendidikan Dan Pemikiran Islam 2, no. 1 (June 30, 2024): 34–41, https://doi.org/10.71305/jmpi.v2i1.48.","previouslyFormattedCitation":"Rahmad Alkhadafi, “Epistemologi Filsafat Islam,” &lt;i&gt;JMPI: Jurnal Manajemen, Pendidikan Dan Pemikiran Islam&lt;/i&gt; 2, no. 1 (June 30, 2024): 34–41, https://doi.org/10.71305/jmpi.v2i1.48."},"properties":{"noteIndex":10},"schema":"https://github.com/citation-style-language/schema/raw/master/csl-citation.json"}</w:instrText>
      </w:r>
      <w:r w:rsidR="00071F8A" w:rsidRPr="00D01A5E">
        <w:rPr>
          <w:rFonts w:ascii="Garamond" w:hAnsi="Garamond"/>
        </w:rPr>
        <w:fldChar w:fldCharType="separate"/>
      </w:r>
      <w:r w:rsidRPr="00D01A5E">
        <w:rPr>
          <w:rFonts w:ascii="Garamond" w:hAnsi="Garamond"/>
          <w:noProof/>
        </w:rPr>
        <w:t xml:space="preserve">Rahmad Alkhadafi, “Epistemologi Filsafat Islam,” </w:t>
      </w:r>
      <w:r w:rsidRPr="00D01A5E">
        <w:rPr>
          <w:rFonts w:ascii="Garamond" w:hAnsi="Garamond"/>
          <w:i/>
          <w:noProof/>
        </w:rPr>
        <w:t>JMPI: Jurnal Manajemen, Pendidikan Dan Pemikiran Islam</w:t>
      </w:r>
      <w:r w:rsidRPr="00D01A5E">
        <w:rPr>
          <w:rFonts w:ascii="Garamond" w:hAnsi="Garamond"/>
          <w:noProof/>
        </w:rPr>
        <w:t xml:space="preserve"> 2, no. 1 (June 30, 2024): 34–41, https://doi.org/10.71305/jmpi.v2i1.48.</w:t>
      </w:r>
      <w:r w:rsidR="00071F8A" w:rsidRPr="00D01A5E">
        <w:rPr>
          <w:rFonts w:ascii="Garamond" w:hAnsi="Garamond"/>
        </w:rPr>
        <w:fldChar w:fldCharType="end"/>
      </w:r>
    </w:p>
  </w:footnote>
  <w:footnote w:id="12">
    <w:p w:rsidR="00EC5E4D" w:rsidRPr="00D01A5E" w:rsidRDefault="00EC5E4D" w:rsidP="00D01A5E">
      <w:pPr>
        <w:pStyle w:val="FootnoteText"/>
        <w:ind w:firstLine="851"/>
        <w:jc w:val="both"/>
        <w:rPr>
          <w:rFonts w:ascii="Garamond" w:hAnsi="Garamond"/>
          <w:lang w:val="en-US"/>
        </w:rPr>
      </w:pPr>
      <w:r w:rsidRPr="00D01A5E">
        <w:rPr>
          <w:rStyle w:val="FootnoteReference"/>
          <w:rFonts w:ascii="Garamond" w:hAnsi="Garamond"/>
        </w:rPr>
        <w:footnoteRef/>
      </w:r>
      <w:r w:rsidRPr="00D01A5E">
        <w:rPr>
          <w:rFonts w:ascii="Garamond" w:hAnsi="Garamond"/>
        </w:rPr>
        <w:t xml:space="preserve"> </w:t>
      </w:r>
      <w:r w:rsidR="00071F8A" w:rsidRPr="00D01A5E">
        <w:rPr>
          <w:rFonts w:ascii="Garamond" w:hAnsi="Garamond"/>
        </w:rPr>
        <w:fldChar w:fldCharType="begin" w:fldLock="1"/>
      </w:r>
      <w:r w:rsidR="004B194C" w:rsidRPr="00D01A5E">
        <w:rPr>
          <w:rFonts w:ascii="Garamond" w:hAnsi="Garamond"/>
        </w:rPr>
        <w:instrText>ADDIN CSL_CITATION {"citationItems":[{"id":"ITEM-1","itemData":{"author":[{"dropping-particle":"","family":"Lexy J Moleong","given":"","non-dropping-particle":"","parse-names":false,"suffix":""}],"id":"ITEM-1","issued":{"date-parts":[["2018"]]},"publisher":"Rosdakarya","publisher-place":"Bandung","title":"Metodologi Penelitian Kualitatif","type":"book"},"uris":["http://www.mendeley.com/documents/?uuid=a72779a3-8170-4d38-acd6-077fdce66710"]}],"mendeley":{"formattedCitation":"Lexy J Moleong, &lt;i&gt;Metodologi Penelitian Kualitatif&lt;/i&gt; (Bandung: Rosdakarya, 2018).","plainTextFormattedCitation":"Lexy J Moleong, Metodologi Penelitian Kualitatif (Bandung: Rosdakarya, 2018).","previouslyFormattedCitation":"Lexy J Moleong, &lt;i&gt;Metodologi Penelitian Kualitatif&lt;/i&gt; (Bandung: Rosdakarya, 2018)."},"properties":{"noteIndex":11},"schema":"https://github.com/citation-style-language/schema/raw/master/csl-citation.json"}</w:instrText>
      </w:r>
      <w:r w:rsidR="00071F8A" w:rsidRPr="00D01A5E">
        <w:rPr>
          <w:rFonts w:ascii="Garamond" w:hAnsi="Garamond"/>
        </w:rPr>
        <w:fldChar w:fldCharType="separate"/>
      </w:r>
      <w:r w:rsidRPr="00D01A5E">
        <w:rPr>
          <w:rFonts w:ascii="Garamond" w:hAnsi="Garamond"/>
          <w:noProof/>
        </w:rPr>
        <w:t xml:space="preserve">Lexy J Moleong, </w:t>
      </w:r>
      <w:r w:rsidRPr="00D01A5E">
        <w:rPr>
          <w:rFonts w:ascii="Garamond" w:hAnsi="Garamond"/>
          <w:i/>
          <w:noProof/>
        </w:rPr>
        <w:t>Metodologi Penelitian Kualitatif</w:t>
      </w:r>
      <w:r w:rsidRPr="00D01A5E">
        <w:rPr>
          <w:rFonts w:ascii="Garamond" w:hAnsi="Garamond"/>
          <w:noProof/>
        </w:rPr>
        <w:t xml:space="preserve"> (Bandung: Rosdakarya, 2018).</w:t>
      </w:r>
      <w:r w:rsidR="00071F8A" w:rsidRPr="00D01A5E">
        <w:rPr>
          <w:rFonts w:ascii="Garamond" w:hAnsi="Garamond"/>
        </w:rPr>
        <w:fldChar w:fldCharType="end"/>
      </w:r>
    </w:p>
  </w:footnote>
  <w:footnote w:id="13">
    <w:p w:rsidR="004B194C" w:rsidRPr="00D01A5E" w:rsidRDefault="004B194C" w:rsidP="00D01A5E">
      <w:pPr>
        <w:pStyle w:val="FootnoteText"/>
        <w:ind w:firstLine="851"/>
        <w:jc w:val="both"/>
        <w:rPr>
          <w:rFonts w:ascii="Garamond" w:hAnsi="Garamond"/>
          <w:lang w:val="en-US"/>
        </w:rPr>
      </w:pPr>
      <w:r w:rsidRPr="00D01A5E">
        <w:rPr>
          <w:rStyle w:val="FootnoteReference"/>
          <w:rFonts w:ascii="Garamond" w:hAnsi="Garamond"/>
        </w:rPr>
        <w:footnoteRef/>
      </w:r>
      <w:r w:rsidRPr="00D01A5E">
        <w:rPr>
          <w:rFonts w:ascii="Garamond" w:hAnsi="Garamond"/>
        </w:rPr>
        <w:t xml:space="preserve"> </w:t>
      </w:r>
      <w:r w:rsidR="00071F8A" w:rsidRPr="00D01A5E">
        <w:rPr>
          <w:rFonts w:ascii="Garamond" w:hAnsi="Garamond"/>
        </w:rPr>
        <w:fldChar w:fldCharType="begin" w:fldLock="1"/>
      </w:r>
      <w:r w:rsidRPr="00D01A5E">
        <w:rPr>
          <w:rFonts w:ascii="Garamond" w:hAnsi="Garamond"/>
        </w:rPr>
        <w:instrText>ADDIN CSL_CITATION {"citationItems":[{"id":"ITEM-1","itemData":{"author":[{"dropping-particle":"","family":"Saumantri","given":"Theguh","non-dropping-particle":"","parse-names":false,"suffix":""}],"id":"ITEM-1","issued":{"date-parts":[["2022"]]},"publisher":"CV. Brimedia Global","publisher-place":"Bengkulu","title":"Filsafat Ilmu (Sebuah Dialektika Ilmu Pengetahuan)","type":"book"},"uris":["http://www.mendeley.com/documents/?uuid=cbfd342e-c7d2-44f3-a9b9-ccd8b67be836"]}],"mendeley":{"formattedCitation":"Saumantri, &lt;i&gt;Filsafat Ilmu (Sebuah Dialektika Ilmu Pengetahuan)&lt;/i&gt;.","plainTextFormattedCitation":"Saumantri, Filsafat Ilmu (Sebuah Dialektika Ilmu Pengetahuan).","previouslyFormattedCitation":"Saumantri, &lt;i&gt;Filsafat Ilmu (Sebuah Dialektika Ilmu Pengetahuan)&lt;/i&gt;."},"properties":{"noteIndex":12},"schema":"https://github.com/citation-style-language/schema/raw/master/csl-citation.json"}</w:instrText>
      </w:r>
      <w:r w:rsidR="00071F8A" w:rsidRPr="00D01A5E">
        <w:rPr>
          <w:rFonts w:ascii="Garamond" w:hAnsi="Garamond"/>
        </w:rPr>
        <w:fldChar w:fldCharType="separate"/>
      </w:r>
      <w:r w:rsidRPr="00D01A5E">
        <w:rPr>
          <w:rFonts w:ascii="Garamond" w:hAnsi="Garamond"/>
          <w:noProof/>
        </w:rPr>
        <w:t xml:space="preserve">Saumantri, </w:t>
      </w:r>
      <w:r w:rsidRPr="00D01A5E">
        <w:rPr>
          <w:rFonts w:ascii="Garamond" w:hAnsi="Garamond"/>
          <w:i/>
          <w:noProof/>
        </w:rPr>
        <w:t>Filsafat Ilmu (Sebuah Dialektika Ilmu Pengetahuan)</w:t>
      </w:r>
      <w:r w:rsidRPr="00D01A5E">
        <w:rPr>
          <w:rFonts w:ascii="Garamond" w:hAnsi="Garamond"/>
          <w:noProof/>
        </w:rPr>
        <w:t>.</w:t>
      </w:r>
      <w:r w:rsidR="00071F8A" w:rsidRPr="00D01A5E">
        <w:rPr>
          <w:rFonts w:ascii="Garamond" w:hAnsi="Garamond"/>
        </w:rPr>
        <w:fldChar w:fldCharType="end"/>
      </w:r>
      <w:r w:rsidRPr="00D01A5E">
        <w:rPr>
          <w:rFonts w:ascii="Garamond" w:hAnsi="Garamond"/>
        </w:rPr>
        <w:t xml:space="preserve"> 27.</w:t>
      </w:r>
    </w:p>
  </w:footnote>
  <w:footnote w:id="14">
    <w:p w:rsidR="004B194C" w:rsidRPr="00D01A5E" w:rsidRDefault="004B194C" w:rsidP="00D01A5E">
      <w:pPr>
        <w:pStyle w:val="FootnoteText"/>
        <w:ind w:firstLine="851"/>
        <w:jc w:val="both"/>
        <w:rPr>
          <w:rFonts w:ascii="Garamond" w:hAnsi="Garamond"/>
          <w:lang w:val="en-US"/>
        </w:rPr>
      </w:pPr>
      <w:r w:rsidRPr="00D01A5E">
        <w:rPr>
          <w:rStyle w:val="FootnoteReference"/>
          <w:rFonts w:ascii="Garamond" w:hAnsi="Garamond"/>
        </w:rPr>
        <w:footnoteRef/>
      </w:r>
      <w:r w:rsidRPr="00D01A5E">
        <w:rPr>
          <w:rFonts w:ascii="Garamond" w:hAnsi="Garamond"/>
        </w:rPr>
        <w:t xml:space="preserve"> </w:t>
      </w:r>
      <w:r w:rsidR="00071F8A" w:rsidRPr="00D01A5E">
        <w:rPr>
          <w:rFonts w:ascii="Garamond" w:hAnsi="Garamond"/>
        </w:rPr>
        <w:fldChar w:fldCharType="begin" w:fldLock="1"/>
      </w:r>
      <w:r w:rsidRPr="00D01A5E">
        <w:rPr>
          <w:rFonts w:ascii="Garamond" w:hAnsi="Garamond"/>
        </w:rPr>
        <w:instrText>ADDIN CSL_CITATION {"citationItems":[{"id":"ITEM-1","itemData":{"DOI":"10.37812/fikroh.v12i1.41","ISSN":"2715-4459","abstract":"Perkembangan ilmu pengetahuan tidak merupakan sesuatu yang twrdiri sendiri, akan tetapi dipengaruhi oleh situasİ sosial, ekonomi. budaya dan bahkan ideologi. Sejarah perkembangan ilmi, rxngetahuan temyata akrab dengan situasi seperti itu. misalnya pada zaman Yunani kuno bercorak kosmosentrisme, zaman abad pertengahan bercorak antreposentrisme dan zaman kontemporer bercorak logosentrisme. Perkembangan itü menandakan bahwa dinamika pemikiran keilmuan pada dasarnya bergeral bukan darı tidak ada tetapi berbekal bahan baku pemikiran yang ada kemudian dikembangkan ke arah sesuatu yang baru sesuai dengan semangat zarnannya. Dalam perkembangan, filsafat ilmu memiliki sistematika yang ditandai dengan pengkajian yang bersifat mendalam, field of scope yang jelas dan metodologi yang terarah kepada penemuan konsep-konsep dan teori kefilsfatan dan keilmuan. Melalui mekanisme seperti ini, filsafat ilmu memperoleh ladang dan tempatnya yang jelas di dalam disiplin kefilsafatan.","author":[{"dropping-particle":"","family":"Khusnan","given":"Ach","non-dropping-particle":"","parse-names":false,"suffix":""}],"container-title":"Fikroh: Jurnal Pemikiran dan Pendidikan Islam","id":"ITEM-1","issue":"1","issued":{"date-parts":[["2019","11","3"]]},"page":"76-87","title":"Diskursus Kesejarahan Ilmu Pengetahuan Dan Filsafat Ilmu","type":"article-journal","volume":"12"},"uris":["http://www.mendeley.com/documents/?uuid=eabf59e2-a402-4b56-a9ff-2df962f79281"]}],"mendeley":{"formattedCitation":"Ach Khusnan, “Diskursus Kesejarahan Ilmu Pengetahuan Dan Filsafat Ilmu,” &lt;i&gt;Fikroh: Jurnal Pemikiran Dan Pendidikan Islam&lt;/i&gt; 12, no. 1 (November 3, 2019): 76–87, https://doi.org/10.37812/fikroh.v12i1.41.","plainTextFormattedCitation":"Ach Khusnan, “Diskursus Kesejarahan Ilmu Pengetahuan Dan Filsafat Ilmu,” Fikroh: Jurnal Pemikiran Dan Pendidikan Islam 12, no. 1 (November 3, 2019): 76–87, https://doi.org/10.37812/fikroh.v12i1.41.","previouslyFormattedCitation":"Ach Khusnan, “Diskursus Kesejarahan Ilmu Pengetahuan Dan Filsafat Ilmu,” &lt;i&gt;Fikroh: Jurnal Pemikiran Dan Pendidikan Islam&lt;/i&gt; 12, no. 1 (November 3, 2019): 76–87, https://doi.org/10.37812/fikroh.v12i1.41."},"properties":{"noteIndex":13},"schema":"https://github.com/citation-style-language/schema/raw/master/csl-citation.json"}</w:instrText>
      </w:r>
      <w:r w:rsidR="00071F8A" w:rsidRPr="00D01A5E">
        <w:rPr>
          <w:rFonts w:ascii="Garamond" w:hAnsi="Garamond"/>
        </w:rPr>
        <w:fldChar w:fldCharType="separate"/>
      </w:r>
      <w:r w:rsidRPr="00D01A5E">
        <w:rPr>
          <w:rFonts w:ascii="Garamond" w:hAnsi="Garamond"/>
          <w:noProof/>
        </w:rPr>
        <w:t xml:space="preserve">Ach Khusnan, “Diskursus Kesejarahan Ilmu Pengetahuan Dan Filsafat Ilmu,” </w:t>
      </w:r>
      <w:r w:rsidRPr="00D01A5E">
        <w:rPr>
          <w:rFonts w:ascii="Garamond" w:hAnsi="Garamond"/>
          <w:i/>
          <w:noProof/>
        </w:rPr>
        <w:t>Fikroh: Jurnal Pemikiran Dan Pendidikan Islam</w:t>
      </w:r>
      <w:r w:rsidRPr="00D01A5E">
        <w:rPr>
          <w:rFonts w:ascii="Garamond" w:hAnsi="Garamond"/>
          <w:noProof/>
        </w:rPr>
        <w:t xml:space="preserve"> 12, no. 1 (November 3, 2019): 76–87, https://doi.org/10.37812/fikroh.v12i1.41.</w:t>
      </w:r>
      <w:r w:rsidR="00071F8A" w:rsidRPr="00D01A5E">
        <w:rPr>
          <w:rFonts w:ascii="Garamond" w:hAnsi="Garamond"/>
        </w:rPr>
        <w:fldChar w:fldCharType="end"/>
      </w:r>
    </w:p>
  </w:footnote>
  <w:footnote w:id="15">
    <w:p w:rsidR="004B194C" w:rsidRPr="00D01A5E" w:rsidRDefault="004B194C" w:rsidP="00D01A5E">
      <w:pPr>
        <w:pStyle w:val="FootnoteText"/>
        <w:ind w:firstLine="851"/>
        <w:jc w:val="both"/>
        <w:rPr>
          <w:rFonts w:ascii="Garamond" w:hAnsi="Garamond"/>
          <w:lang w:val="en-US"/>
        </w:rPr>
      </w:pPr>
      <w:r w:rsidRPr="00D01A5E">
        <w:rPr>
          <w:rStyle w:val="FootnoteReference"/>
          <w:rFonts w:ascii="Garamond" w:hAnsi="Garamond"/>
        </w:rPr>
        <w:footnoteRef/>
      </w:r>
      <w:r w:rsidRPr="00D01A5E">
        <w:rPr>
          <w:rFonts w:ascii="Garamond" w:hAnsi="Garamond"/>
        </w:rPr>
        <w:t xml:space="preserve"> </w:t>
      </w:r>
      <w:r w:rsidR="00071F8A" w:rsidRPr="00D01A5E">
        <w:rPr>
          <w:rFonts w:ascii="Garamond" w:hAnsi="Garamond"/>
        </w:rPr>
        <w:fldChar w:fldCharType="begin" w:fldLock="1"/>
      </w:r>
      <w:r w:rsidRPr="00D01A5E">
        <w:rPr>
          <w:rFonts w:ascii="Garamond" w:hAnsi="Garamond"/>
        </w:rPr>
        <w:instrText>ADDIN CSL_CITATION {"citationItems":[{"id":"ITEM-1","itemData":{"author":[{"dropping-particle":"","family":"Bagus","given":"Loren","non-dropping-particle":"","parse-names":false,"suffix":""}],"id":"ITEM-1","issued":{"date-parts":[["2005"]]},"publisher":"Gramedia","publisher-place":"Jakarta","title":"Kamus Filsafat","type":"book"},"uris":["http://www.mendeley.com/documents/?uuid=f69b2337-5343-4ad1-b7ab-bb4bdd17b86d"]}],"mendeley":{"formattedCitation":"Loren Bagus, &lt;i&gt;Kamus Filsafat&lt;/i&gt; (Jakarta: Gramedia, 2005).","plainTextFormattedCitation":"Loren Bagus, Kamus Filsafat (Jakarta: Gramedia, 2005).","previouslyFormattedCitation":"Loren Bagus, &lt;i&gt;Kamus Filsafat&lt;/i&gt; (Jakarta: Gramedia, 2005)."},"properties":{"noteIndex":14},"schema":"https://github.com/citation-style-language/schema/raw/master/csl-citation.json"}</w:instrText>
      </w:r>
      <w:r w:rsidR="00071F8A" w:rsidRPr="00D01A5E">
        <w:rPr>
          <w:rFonts w:ascii="Garamond" w:hAnsi="Garamond"/>
        </w:rPr>
        <w:fldChar w:fldCharType="separate"/>
      </w:r>
      <w:r w:rsidRPr="00D01A5E">
        <w:rPr>
          <w:rFonts w:ascii="Garamond" w:hAnsi="Garamond"/>
          <w:noProof/>
        </w:rPr>
        <w:t xml:space="preserve">Loren Bagus, </w:t>
      </w:r>
      <w:r w:rsidRPr="00D01A5E">
        <w:rPr>
          <w:rFonts w:ascii="Garamond" w:hAnsi="Garamond"/>
          <w:i/>
          <w:noProof/>
        </w:rPr>
        <w:t>Kamus Filsafat</w:t>
      </w:r>
      <w:r w:rsidRPr="00D01A5E">
        <w:rPr>
          <w:rFonts w:ascii="Garamond" w:hAnsi="Garamond"/>
          <w:noProof/>
        </w:rPr>
        <w:t xml:space="preserve"> (Jakarta: Gramedia, 2005).</w:t>
      </w:r>
      <w:r w:rsidR="00071F8A" w:rsidRPr="00D01A5E">
        <w:rPr>
          <w:rFonts w:ascii="Garamond" w:hAnsi="Garamond"/>
        </w:rPr>
        <w:fldChar w:fldCharType="end"/>
      </w:r>
    </w:p>
  </w:footnote>
  <w:footnote w:id="16">
    <w:p w:rsidR="004B194C" w:rsidRPr="00D01A5E" w:rsidRDefault="004B194C" w:rsidP="00D01A5E">
      <w:pPr>
        <w:pStyle w:val="FootnoteText"/>
        <w:ind w:firstLine="851"/>
        <w:jc w:val="both"/>
        <w:rPr>
          <w:rFonts w:ascii="Garamond" w:hAnsi="Garamond"/>
          <w:lang w:val="en-US"/>
        </w:rPr>
      </w:pPr>
      <w:r w:rsidRPr="00D01A5E">
        <w:rPr>
          <w:rStyle w:val="FootnoteReference"/>
          <w:rFonts w:ascii="Garamond" w:hAnsi="Garamond"/>
        </w:rPr>
        <w:footnoteRef/>
      </w:r>
      <w:r w:rsidRPr="00D01A5E">
        <w:rPr>
          <w:rFonts w:ascii="Garamond" w:hAnsi="Garamond"/>
        </w:rPr>
        <w:t xml:space="preserve"> </w:t>
      </w:r>
      <w:r w:rsidR="00071F8A" w:rsidRPr="00D01A5E">
        <w:rPr>
          <w:rFonts w:ascii="Garamond" w:hAnsi="Garamond"/>
        </w:rPr>
        <w:fldChar w:fldCharType="begin" w:fldLock="1"/>
      </w:r>
      <w:r w:rsidRPr="00D01A5E">
        <w:rPr>
          <w:rFonts w:ascii="Garamond" w:hAnsi="Garamond"/>
        </w:rPr>
        <w:instrText>ADDIN CSL_CITATION {"citationItems":[{"id":"ITEM-1","itemData":{"author":[{"dropping-particle":"","family":"Sunanto","given":"Musyrifah","non-dropping-particle":"","parse-names":false,"suffix":""}],"id":"ITEM-1","issued":{"date-parts":[["2010"]]},"publisher":"Kencana","publisher-place":"Jakarta","title":"Sejarah Islam Klasik perkembangan ilmu pengetahuan islam","type":"book"},"uris":["http://www.mendeley.com/documents/?uuid=072dd3fb-1266-4c6e-8ecf-5bb6917af0a0"]}],"mendeley":{"formattedCitation":"Musyrifah Sunanto, &lt;i&gt;Sejarah Islam Klasik Perkembangan Ilmu Pengetahuan Islam&lt;/i&gt; (Jakarta: Kencana, 2010).","plainTextFormattedCitation":"Musyrifah Sunanto, Sejarah Islam Klasik Perkembangan Ilmu Pengetahuan Islam (Jakarta: Kencana, 2010).","previouslyFormattedCitation":"Musyrifah Sunanto, &lt;i&gt;Sejarah Islam Klasik Perkembangan Ilmu Pengetahuan Islam&lt;/i&gt; (Jakarta: Kencana, 2010)."},"properties":{"noteIndex":15},"schema":"https://github.com/citation-style-language/schema/raw/master/csl-citation.json"}</w:instrText>
      </w:r>
      <w:r w:rsidR="00071F8A" w:rsidRPr="00D01A5E">
        <w:rPr>
          <w:rFonts w:ascii="Garamond" w:hAnsi="Garamond"/>
        </w:rPr>
        <w:fldChar w:fldCharType="separate"/>
      </w:r>
      <w:r w:rsidRPr="00D01A5E">
        <w:rPr>
          <w:rFonts w:ascii="Garamond" w:hAnsi="Garamond"/>
          <w:noProof/>
        </w:rPr>
        <w:t xml:space="preserve">Musyrifah Sunanto, </w:t>
      </w:r>
      <w:r w:rsidRPr="00D01A5E">
        <w:rPr>
          <w:rFonts w:ascii="Garamond" w:hAnsi="Garamond"/>
          <w:i/>
          <w:noProof/>
        </w:rPr>
        <w:t>Sejarah Islam Klasik Perkembangan Ilmu Pengetahuan Islam</w:t>
      </w:r>
      <w:r w:rsidRPr="00D01A5E">
        <w:rPr>
          <w:rFonts w:ascii="Garamond" w:hAnsi="Garamond"/>
          <w:noProof/>
        </w:rPr>
        <w:t xml:space="preserve"> (Jakarta: Kencana, 2010).</w:t>
      </w:r>
      <w:r w:rsidR="00071F8A" w:rsidRPr="00D01A5E">
        <w:rPr>
          <w:rFonts w:ascii="Garamond" w:hAnsi="Garamond"/>
        </w:rPr>
        <w:fldChar w:fldCharType="end"/>
      </w:r>
    </w:p>
  </w:footnote>
  <w:footnote w:id="17">
    <w:p w:rsidR="004B194C" w:rsidRPr="00D01A5E" w:rsidRDefault="004B194C" w:rsidP="00D01A5E">
      <w:pPr>
        <w:pStyle w:val="FootnoteText"/>
        <w:ind w:firstLine="851"/>
        <w:jc w:val="both"/>
        <w:rPr>
          <w:rFonts w:ascii="Garamond" w:hAnsi="Garamond"/>
          <w:lang w:val="en-US"/>
        </w:rPr>
      </w:pPr>
      <w:r w:rsidRPr="00D01A5E">
        <w:rPr>
          <w:rStyle w:val="FootnoteReference"/>
          <w:rFonts w:ascii="Garamond" w:hAnsi="Garamond"/>
        </w:rPr>
        <w:footnoteRef/>
      </w:r>
      <w:r w:rsidRPr="00D01A5E">
        <w:rPr>
          <w:rFonts w:ascii="Garamond" w:hAnsi="Garamond"/>
        </w:rPr>
        <w:t xml:space="preserve"> </w:t>
      </w:r>
      <w:r w:rsidR="00071F8A" w:rsidRPr="00D01A5E">
        <w:rPr>
          <w:rFonts w:ascii="Garamond" w:hAnsi="Garamond"/>
        </w:rPr>
        <w:fldChar w:fldCharType="begin" w:fldLock="1"/>
      </w:r>
      <w:r w:rsidR="003A4646" w:rsidRPr="00D01A5E">
        <w:rPr>
          <w:rFonts w:ascii="Garamond" w:hAnsi="Garamond"/>
        </w:rPr>
        <w:instrText>ADDIN CSL_CITATION {"citationItems":[{"id":"ITEM-1","itemData":{"DOI":"https://doi.org/10.48094/raudhah.v7i2.416","author":[{"dropping-particle":"","family":"Rahmawati","given":"Fitria Dwi","non-dropping-particle":"","parse-names":false,"suffix":""},{"dropping-particle":"","family":"Mubarokah","given":"Lailatul","non-dropping-particle":"","parse-names":false,"suffix":""},{"dropping-particle":"","family":"Asrori","given":"Mohammad","non-dropping-particle":"","parse-names":false,"suffix":""},{"dropping-particle":"","family":"Wilatikta","given":"Ayu","non-dropping-particle":"","parse-names":false,"suffix":""}],"container-title":"Raudhah Proud To Be Professionals: Jurnal Tarbiyah Islamiyah","id":"ITEM-1","issue":"2","issued":{"date-parts":[["2022"]]},"page":"511-531","title":"Tokoh-Tokoh dan Pemikiran Filsafat Dunia Barat","type":"article-journal","volume":"7"},"uris":["http://www.mendeley.com/documents/?uuid=335c3b68-d85f-4b98-a595-1da5004d3f88"]}],"mendeley":{"formattedCitation":"Fitria Dwi Rahmawati et al., “Tokoh-Tokoh Dan Pemikiran Filsafat Dunia Barat,” &lt;i&gt;Raudhah Proud To Be Professionals: Jurnal Tarbiyah Islamiyah&lt;/i&gt; 7, no. 2 (2022): 511–31, https://doi.org/https://doi.org/10.48094/raudhah.v7i2.416.","plainTextFormattedCitation":"Fitria Dwi Rahmawati et al., “Tokoh-Tokoh Dan Pemikiran Filsafat Dunia Barat,” Raudhah Proud To Be Professionals: Jurnal Tarbiyah Islamiyah 7, no. 2 (2022): 511–31, https://doi.org/https://doi.org/10.48094/raudhah.v7i2.416.","previouslyFormattedCitation":"Fitria Dwi Rahmawati et al., “Tokoh-Tokoh Dan Pemikiran Filsafat Dunia Barat,” &lt;i&gt;Raudhah Proud To Be Professionals: Jurnal Tarbiyah Islamiyah&lt;/i&gt; 7, no. 2 (2022): 511–31, https://doi.org/https://doi.org/10.48094/raudhah.v7i2.416."},"properties":{"noteIndex":16},"schema":"https://github.com/citation-style-language/schema/raw/master/csl-citation.json"}</w:instrText>
      </w:r>
      <w:r w:rsidR="00071F8A" w:rsidRPr="00D01A5E">
        <w:rPr>
          <w:rFonts w:ascii="Garamond" w:hAnsi="Garamond"/>
        </w:rPr>
        <w:fldChar w:fldCharType="separate"/>
      </w:r>
      <w:r w:rsidRPr="00D01A5E">
        <w:rPr>
          <w:rFonts w:ascii="Garamond" w:hAnsi="Garamond"/>
          <w:noProof/>
        </w:rPr>
        <w:t xml:space="preserve">Fitria Dwi Rahmawati et al., “Tokoh-Tokoh Dan Pemikiran Filsafat Dunia Barat,” </w:t>
      </w:r>
      <w:r w:rsidRPr="00D01A5E">
        <w:rPr>
          <w:rFonts w:ascii="Garamond" w:hAnsi="Garamond"/>
          <w:i/>
          <w:noProof/>
        </w:rPr>
        <w:t>Raudhah Proud To Be Professionals: Jurnal Tarbiyah Islamiyah</w:t>
      </w:r>
      <w:r w:rsidRPr="00D01A5E">
        <w:rPr>
          <w:rFonts w:ascii="Garamond" w:hAnsi="Garamond"/>
          <w:noProof/>
        </w:rPr>
        <w:t xml:space="preserve"> 7, no. 2 (2022): 511–31, https://doi.org/https://doi.org/10.48094/raudhah.v7i2.416.</w:t>
      </w:r>
      <w:r w:rsidR="00071F8A" w:rsidRPr="00D01A5E">
        <w:rPr>
          <w:rFonts w:ascii="Garamond" w:hAnsi="Garamond"/>
        </w:rPr>
        <w:fldChar w:fldCharType="end"/>
      </w:r>
    </w:p>
  </w:footnote>
  <w:footnote w:id="18">
    <w:p w:rsidR="003A4646" w:rsidRPr="00D01A5E" w:rsidRDefault="003A4646" w:rsidP="00D01A5E">
      <w:pPr>
        <w:pStyle w:val="FootnoteText"/>
        <w:ind w:firstLine="851"/>
        <w:jc w:val="both"/>
        <w:rPr>
          <w:rFonts w:ascii="Garamond" w:hAnsi="Garamond"/>
          <w:lang w:val="en-US"/>
        </w:rPr>
      </w:pPr>
      <w:r w:rsidRPr="00D01A5E">
        <w:rPr>
          <w:rStyle w:val="FootnoteReference"/>
          <w:rFonts w:ascii="Garamond" w:hAnsi="Garamond"/>
        </w:rPr>
        <w:footnoteRef/>
      </w:r>
      <w:r w:rsidRPr="00D01A5E">
        <w:rPr>
          <w:rFonts w:ascii="Garamond" w:hAnsi="Garamond"/>
        </w:rPr>
        <w:t xml:space="preserve"> </w:t>
      </w:r>
      <w:r w:rsidR="00071F8A" w:rsidRPr="00D01A5E">
        <w:rPr>
          <w:rFonts w:ascii="Garamond" w:hAnsi="Garamond"/>
        </w:rPr>
        <w:fldChar w:fldCharType="begin" w:fldLock="1"/>
      </w:r>
      <w:r w:rsidRPr="00D01A5E">
        <w:rPr>
          <w:rFonts w:ascii="Garamond" w:hAnsi="Garamond"/>
        </w:rPr>
        <w:instrText>ADDIN CSL_CITATION {"citationItems":[{"id":"ITEM-1","itemData":{"author":[{"dropping-particle":"","family":"Wahid","given":"Masykur","non-dropping-particle":"","parse-names":false,"suffix":""}],"id":"ITEM-1","issued":{"date-parts":[["2021"]]},"publisher":"A-empat","publisher-place":"serang","title":"Filsafat Umum: Dari Filsafat Yunani Kuno ke Filsafat Modern","type":"book"},"uris":["http://www.mendeley.com/documents/?uuid=ae11ef72-0109-46a5-a7fd-9747973a9045"]}],"mendeley":{"formattedCitation":"Masykur Wahid, &lt;i&gt;Filsafat Umum: Dari Filsafat Yunani Kuno Ke Filsafat Modern&lt;/i&gt; (serang: A-empat, 2021).","plainTextFormattedCitation":"Masykur Wahid, Filsafat Umum: Dari Filsafat Yunani Kuno Ke Filsafat Modern (serang: A-empat, 2021).","previouslyFormattedCitation":"Masykur Wahid, &lt;i&gt;Filsafat Umum: Dari Filsafat Yunani Kuno Ke Filsafat Modern&lt;/i&gt; (serang: A-empat, 2021)."},"properties":{"noteIndex":17},"schema":"https://github.com/citation-style-language/schema/raw/master/csl-citation.json"}</w:instrText>
      </w:r>
      <w:r w:rsidR="00071F8A" w:rsidRPr="00D01A5E">
        <w:rPr>
          <w:rFonts w:ascii="Garamond" w:hAnsi="Garamond"/>
        </w:rPr>
        <w:fldChar w:fldCharType="separate"/>
      </w:r>
      <w:r w:rsidRPr="00D01A5E">
        <w:rPr>
          <w:rFonts w:ascii="Garamond" w:hAnsi="Garamond"/>
          <w:noProof/>
        </w:rPr>
        <w:t xml:space="preserve">Masykur Wahid, </w:t>
      </w:r>
      <w:r w:rsidRPr="00D01A5E">
        <w:rPr>
          <w:rFonts w:ascii="Garamond" w:hAnsi="Garamond"/>
          <w:i/>
          <w:noProof/>
        </w:rPr>
        <w:t>Filsafat Umum: Dari Filsafat Yunani Kuno Ke Filsafat Modern</w:t>
      </w:r>
      <w:r w:rsidRPr="00D01A5E">
        <w:rPr>
          <w:rFonts w:ascii="Garamond" w:hAnsi="Garamond"/>
          <w:noProof/>
        </w:rPr>
        <w:t xml:space="preserve"> (serang: A-empat, 2021).</w:t>
      </w:r>
      <w:r w:rsidR="00071F8A" w:rsidRPr="00D01A5E">
        <w:rPr>
          <w:rFonts w:ascii="Garamond" w:hAnsi="Garamond"/>
        </w:rPr>
        <w:fldChar w:fldCharType="end"/>
      </w:r>
    </w:p>
  </w:footnote>
  <w:footnote w:id="19">
    <w:p w:rsidR="003A4646" w:rsidRPr="00D01A5E" w:rsidRDefault="003A4646" w:rsidP="00D01A5E">
      <w:pPr>
        <w:pStyle w:val="FootnoteText"/>
        <w:ind w:firstLine="851"/>
        <w:jc w:val="both"/>
        <w:rPr>
          <w:rFonts w:ascii="Garamond" w:hAnsi="Garamond"/>
          <w:lang w:val="en-US"/>
        </w:rPr>
      </w:pPr>
      <w:r w:rsidRPr="00D01A5E">
        <w:rPr>
          <w:rStyle w:val="FootnoteReference"/>
          <w:rFonts w:ascii="Garamond" w:hAnsi="Garamond"/>
        </w:rPr>
        <w:footnoteRef/>
      </w:r>
      <w:r w:rsidRPr="00D01A5E">
        <w:rPr>
          <w:rFonts w:ascii="Garamond" w:hAnsi="Garamond"/>
        </w:rPr>
        <w:t xml:space="preserve"> </w:t>
      </w:r>
      <w:r w:rsidR="00071F8A" w:rsidRPr="00D01A5E">
        <w:rPr>
          <w:rFonts w:ascii="Garamond" w:hAnsi="Garamond"/>
        </w:rPr>
        <w:fldChar w:fldCharType="begin" w:fldLock="1"/>
      </w:r>
      <w:r w:rsidR="00420140" w:rsidRPr="00D01A5E">
        <w:rPr>
          <w:rFonts w:ascii="Garamond" w:hAnsi="Garamond"/>
        </w:rPr>
        <w:instrText>ADDIN CSL_CITATION {"citationItems":[{"id":"ITEM-1","itemData":{"author":[{"dropping-particle":"","family":"Rahmadina","given":"Revina","non-dropping-particle":"","parse-names":false,"suffix":""},{"dropping-particle":"","family":"Hambali","given":"Radea Yuli A","non-dropping-particle":"","parse-names":false,"suffix":""}],"container-title":"The 4th Conference on Islamic and Socio-Cultural Studies (CISS)","id":"ITEM-1","issue":"1","issued":{"date-parts":[["2023"]]},"page":"693-708","title":"Pengaruh Teori Rene Descartes terhadap Perubahan Pemikiran Teologi Teosentrisme Menuju Antroposentrisme","type":"article-journal","volume":"19"},"uris":["http://www.mendeley.com/documents/?uuid=76cd91d4-f96a-44eb-9416-c6ad5031c246"]}],"mendeley":{"formattedCitation":"Revina Rahmadina and Radea Yuli A Hambali, “Pengaruh Teori Rene Descartes Terhadap Perubahan Pemikiran Teologi Teosentrisme Menuju Antroposentrisme,” &lt;i&gt;The 4th Conference on Islamic and Socio-Cultural Studies (CISS)&lt;/i&gt; 19, no. 1 (2023): 693–708.","plainTextFormattedCitation":"Revina Rahmadina and Radea Yuli A Hambali, “Pengaruh Teori Rene Descartes Terhadap Perubahan Pemikiran Teologi Teosentrisme Menuju Antroposentrisme,” The 4th Conference on Islamic and Socio-Cultural Studies (CISS) 19, no. 1 (2023): 693–708.","previouslyFormattedCitation":"Revina Rahmadina and Radea Yuli A Hambali, “Pengaruh Teori Rene Descartes Terhadap Perubahan Pemikiran Teologi Teosentrisme Menuju Antroposentrisme,” &lt;i&gt;The 4th Conference on Islamic and Socio-Cultural Studies (CISS)&lt;/i&gt; 19, no. 1 (2023): 693–708."},"properties":{"noteIndex":18},"schema":"https://github.com/citation-style-language/schema/raw/master/csl-citation.json"}</w:instrText>
      </w:r>
      <w:r w:rsidR="00071F8A" w:rsidRPr="00D01A5E">
        <w:rPr>
          <w:rFonts w:ascii="Garamond" w:hAnsi="Garamond"/>
        </w:rPr>
        <w:fldChar w:fldCharType="separate"/>
      </w:r>
      <w:r w:rsidRPr="00D01A5E">
        <w:rPr>
          <w:rFonts w:ascii="Garamond" w:hAnsi="Garamond"/>
          <w:noProof/>
        </w:rPr>
        <w:t xml:space="preserve">Revina Rahmadina and Radea Yuli A Hambali, “Pengaruh Teori Rene Descartes Terhadap Perubahan Pemikiran Teologi Teosentrisme Menuju Antroposentrisme,” </w:t>
      </w:r>
      <w:r w:rsidRPr="00D01A5E">
        <w:rPr>
          <w:rFonts w:ascii="Garamond" w:hAnsi="Garamond"/>
          <w:i/>
          <w:noProof/>
        </w:rPr>
        <w:t>The 4th Conference on Islamic and Socio-Cultural Studies (CISS)</w:t>
      </w:r>
      <w:r w:rsidRPr="00D01A5E">
        <w:rPr>
          <w:rFonts w:ascii="Garamond" w:hAnsi="Garamond"/>
          <w:noProof/>
        </w:rPr>
        <w:t xml:space="preserve"> 19, no. 1 (2023): 693–708.</w:t>
      </w:r>
      <w:r w:rsidR="00071F8A" w:rsidRPr="00D01A5E">
        <w:rPr>
          <w:rFonts w:ascii="Garamond" w:hAnsi="Garamond"/>
        </w:rPr>
        <w:fldChar w:fldCharType="end"/>
      </w:r>
    </w:p>
  </w:footnote>
  <w:footnote w:id="20">
    <w:p w:rsidR="00420140" w:rsidRPr="00D01A5E" w:rsidRDefault="00420140" w:rsidP="00D01A5E">
      <w:pPr>
        <w:pStyle w:val="FootnoteText"/>
        <w:ind w:firstLine="851"/>
        <w:jc w:val="both"/>
        <w:rPr>
          <w:rFonts w:ascii="Garamond" w:hAnsi="Garamond"/>
          <w:lang w:val="en-US"/>
        </w:rPr>
      </w:pPr>
      <w:r w:rsidRPr="00D01A5E">
        <w:rPr>
          <w:rStyle w:val="FootnoteReference"/>
          <w:rFonts w:ascii="Garamond" w:hAnsi="Garamond"/>
        </w:rPr>
        <w:footnoteRef/>
      </w:r>
      <w:r w:rsidRPr="00D01A5E">
        <w:rPr>
          <w:rFonts w:ascii="Garamond" w:hAnsi="Garamond"/>
        </w:rPr>
        <w:t xml:space="preserve"> </w:t>
      </w:r>
      <w:r w:rsidR="00071F8A" w:rsidRPr="00D01A5E">
        <w:rPr>
          <w:rFonts w:ascii="Garamond" w:hAnsi="Garamond"/>
        </w:rPr>
        <w:fldChar w:fldCharType="begin" w:fldLock="1"/>
      </w:r>
      <w:r w:rsidR="005737C8" w:rsidRPr="00D01A5E">
        <w:rPr>
          <w:rFonts w:ascii="Garamond" w:hAnsi="Garamond"/>
        </w:rPr>
        <w:instrText>ADDIN CSL_CITATION {"citationItems":[{"id":"ITEM-1","itemData":{"author":[{"dropping-particle":"","family":"Saumantri","given":"Theguh","non-dropping-particle":"","parse-names":false,"suffix":""}],"id":"ITEM-1","issued":{"date-parts":[["2022"]]},"publisher":"CV. Brimedia Global","publisher-place":"Bengkulu","title":"Filsafat Ilmu (Sebuah Dialektika Ilmu Pengetahuan)","type":"book"},"uris":["http://www.mendeley.com/documents/?uuid=cbfd342e-c7d2-44f3-a9b9-ccd8b67be836"]}],"mendeley":{"formattedCitation":"Saumantri, &lt;i&gt;Filsafat Ilmu (Sebuah Dialektika Ilmu Pengetahuan)&lt;/i&gt;.","plainTextFormattedCitation":"Saumantri, Filsafat Ilmu (Sebuah Dialektika Ilmu Pengetahuan).","previouslyFormattedCitation":"Saumantri, &lt;i&gt;Filsafat Ilmu (Sebuah Dialektika Ilmu Pengetahuan)&lt;/i&gt;."},"properties":{"noteIndex":19},"schema":"https://github.com/citation-style-language/schema/raw/master/csl-citation.json"}</w:instrText>
      </w:r>
      <w:r w:rsidR="00071F8A" w:rsidRPr="00D01A5E">
        <w:rPr>
          <w:rFonts w:ascii="Garamond" w:hAnsi="Garamond"/>
        </w:rPr>
        <w:fldChar w:fldCharType="separate"/>
      </w:r>
      <w:r w:rsidRPr="00D01A5E">
        <w:rPr>
          <w:rFonts w:ascii="Garamond" w:hAnsi="Garamond"/>
          <w:noProof/>
        </w:rPr>
        <w:t xml:space="preserve">Saumantri, </w:t>
      </w:r>
      <w:r w:rsidRPr="00D01A5E">
        <w:rPr>
          <w:rFonts w:ascii="Garamond" w:hAnsi="Garamond"/>
          <w:i/>
          <w:noProof/>
        </w:rPr>
        <w:t>Filsafat Ilmu (Sebuah Dialektika Ilmu Pengetahuan)</w:t>
      </w:r>
      <w:r w:rsidRPr="00D01A5E">
        <w:rPr>
          <w:rFonts w:ascii="Garamond" w:hAnsi="Garamond"/>
          <w:noProof/>
        </w:rPr>
        <w:t>.</w:t>
      </w:r>
      <w:r w:rsidR="00071F8A" w:rsidRPr="00D01A5E">
        <w:rPr>
          <w:rFonts w:ascii="Garamond" w:hAnsi="Garamond"/>
        </w:rPr>
        <w:fldChar w:fldCharType="end"/>
      </w:r>
    </w:p>
  </w:footnote>
  <w:footnote w:id="21">
    <w:p w:rsidR="005737C8" w:rsidRPr="00D01A5E" w:rsidRDefault="005737C8" w:rsidP="00D01A5E">
      <w:pPr>
        <w:pStyle w:val="FootnoteText"/>
        <w:ind w:firstLine="851"/>
        <w:jc w:val="both"/>
        <w:rPr>
          <w:rFonts w:ascii="Garamond" w:hAnsi="Garamond"/>
          <w:lang w:val="en-US"/>
        </w:rPr>
      </w:pPr>
      <w:r w:rsidRPr="00D01A5E">
        <w:rPr>
          <w:rStyle w:val="FootnoteReference"/>
          <w:rFonts w:ascii="Garamond" w:hAnsi="Garamond"/>
        </w:rPr>
        <w:footnoteRef/>
      </w:r>
      <w:r w:rsidRPr="00D01A5E">
        <w:rPr>
          <w:rFonts w:ascii="Garamond" w:hAnsi="Garamond"/>
        </w:rPr>
        <w:t xml:space="preserve"> </w:t>
      </w:r>
      <w:r w:rsidR="00071F8A" w:rsidRPr="00D01A5E">
        <w:rPr>
          <w:rFonts w:ascii="Garamond" w:hAnsi="Garamond"/>
        </w:rPr>
        <w:fldChar w:fldCharType="begin" w:fldLock="1"/>
      </w:r>
      <w:r w:rsidRPr="00D01A5E">
        <w:rPr>
          <w:rFonts w:ascii="Garamond" w:hAnsi="Garamond"/>
        </w:rPr>
        <w:instrText>ADDIN CSL_CITATION {"citationItems":[{"id":"ITEM-1","itemData":{"DOI":"10.18326/mlt.v3i1.141-171","ISSN":"2540-9964","abstract":"Hassan Hanafi is one of the contemporary Islamic scholars who gives considerable attention to classical Islamic theology (kalam Islam). For him Islamic theology, such as the Ash’ari’s Kalam, cannot be proven scientifically also philosophically. Classical Islamic theology practically cannot be used as a view that can motivate the increasing of concrete actions in human life. This is caused by the compilation of classical Islamic theology tends not to be based on the pure awareness and the values of human actions. So that this creates a split between the theoretical faith into the practical faith of ummah. In turn, this conditions create the multiple moral attitudes or secretism of personality that makes Islamic society worse in poverty, oppression, backwardness and ignorance. For this problems, Hassan Hanafi offered a reconstruction that is to change a more grounded theological paradigm; that is from theocentric (God is the central of everything) to be anthropocentric (humanbeing is the central of everything). If the first paradigm sees world affairs as a matter of God, then the second paradigm sees world affairs as human affairs.","author":[{"dropping-particle":"","family":"Gufron","given":"M.","non-dropping-particle":"","parse-names":false,"suffix":""}],"container-title":"Millati: Journal of Islamic Studies and Humanities","id":"ITEM-1","issue":"1","issued":{"date-parts":[["2018","6","15"]]},"page":"141","title":"Transformasi Paradigma Teologi Teosentris Menuju Antroposentris:Telaah atas Pemikiran Hasan Hanafi","type":"article-journal","volume":"3"},"uris":["http://www.mendeley.com/documents/?uuid=78a74e44-e11e-44b5-8f43-a2510085f820"]}],"mendeley":{"formattedCitation":"M. Gufron, “Transformasi Paradigma Teologi Teosentris Menuju Antroposentris:Telaah Atas Pemikiran Hasan Hanafi,” &lt;i&gt;Millati: Journal of Islamic Studies and Humanities&lt;/i&gt; 3, no. 1 (June 15, 2018): 141, https://doi.org/10.18326/mlt.v3i1.141-171.","plainTextFormattedCitation":"M. Gufron, “Transformasi Paradigma Teologi Teosentris Menuju Antroposentris:Telaah Atas Pemikiran Hasan Hanafi,” Millati: Journal of Islamic Studies and Humanities 3, no. 1 (June 15, 2018): 141, https://doi.org/10.18326/mlt.v3i1.141-171.","previouslyFormattedCitation":"M. Gufron, “Transformasi Paradigma Teologi Teosentris Menuju Antroposentris:Telaah Atas Pemikiran Hasan Hanafi,” &lt;i&gt;Millati: Journal of Islamic Studies and Humanities&lt;/i&gt; 3, no. 1 (June 15, 2018): 141, https://doi.org/10.18326/mlt.v3i1.141-171."},"properties":{"noteIndex":20},"schema":"https://github.com/citation-style-language/schema/raw/master/csl-citation.json"}</w:instrText>
      </w:r>
      <w:r w:rsidR="00071F8A" w:rsidRPr="00D01A5E">
        <w:rPr>
          <w:rFonts w:ascii="Garamond" w:hAnsi="Garamond"/>
        </w:rPr>
        <w:fldChar w:fldCharType="separate"/>
      </w:r>
      <w:r w:rsidRPr="00D01A5E">
        <w:rPr>
          <w:rFonts w:ascii="Garamond" w:hAnsi="Garamond"/>
          <w:noProof/>
        </w:rPr>
        <w:t xml:space="preserve">M. Gufron, “Transformasi Paradigma Teologi Teosentris Menuju Antroposentris:Telaah Atas Pemikiran Hasan Hanafi,” </w:t>
      </w:r>
      <w:r w:rsidRPr="00D01A5E">
        <w:rPr>
          <w:rFonts w:ascii="Garamond" w:hAnsi="Garamond"/>
          <w:i/>
          <w:noProof/>
        </w:rPr>
        <w:t>Millati: Journal of Islamic Studies and Humanities</w:t>
      </w:r>
      <w:r w:rsidRPr="00D01A5E">
        <w:rPr>
          <w:rFonts w:ascii="Garamond" w:hAnsi="Garamond"/>
          <w:noProof/>
        </w:rPr>
        <w:t xml:space="preserve"> 3, no. 1 (June 15, 2018): 141, https://doi.org/10.18326/mlt.v3i1.141-171.</w:t>
      </w:r>
      <w:r w:rsidR="00071F8A" w:rsidRPr="00D01A5E">
        <w:rPr>
          <w:rFonts w:ascii="Garamond" w:hAnsi="Garamond"/>
        </w:rPr>
        <w:fldChar w:fldCharType="end"/>
      </w:r>
    </w:p>
  </w:footnote>
  <w:footnote w:id="22">
    <w:p w:rsidR="005737C8" w:rsidRPr="00D01A5E" w:rsidRDefault="005737C8" w:rsidP="00D01A5E">
      <w:pPr>
        <w:pStyle w:val="FootnoteText"/>
        <w:ind w:firstLine="851"/>
        <w:jc w:val="both"/>
        <w:rPr>
          <w:rFonts w:ascii="Garamond" w:hAnsi="Garamond"/>
          <w:lang w:val="en-US"/>
        </w:rPr>
      </w:pPr>
      <w:r w:rsidRPr="00D01A5E">
        <w:rPr>
          <w:rStyle w:val="FootnoteReference"/>
          <w:rFonts w:ascii="Garamond" w:hAnsi="Garamond"/>
        </w:rPr>
        <w:footnoteRef/>
      </w:r>
      <w:r w:rsidRPr="00D01A5E">
        <w:rPr>
          <w:rFonts w:ascii="Garamond" w:hAnsi="Garamond"/>
        </w:rPr>
        <w:t xml:space="preserve"> </w:t>
      </w:r>
      <w:r w:rsidR="00071F8A" w:rsidRPr="00D01A5E">
        <w:rPr>
          <w:rFonts w:ascii="Garamond" w:hAnsi="Garamond"/>
        </w:rPr>
        <w:fldChar w:fldCharType="begin" w:fldLock="1"/>
      </w:r>
      <w:r w:rsidRPr="00D01A5E">
        <w:rPr>
          <w:rFonts w:ascii="Garamond" w:hAnsi="Garamond"/>
        </w:rPr>
        <w:instrText>ADDIN CSL_CITATION {"citationItems":[{"id":"ITEM-1","itemData":{"DOI":"10.37812/fikroh.v12i1.41","ISSN":"2715-4459","abstract":"Perkembangan ilmu pengetahuan tidak merupakan sesuatu yang twrdiri sendiri, akan tetapi dipengaruhi oleh situasİ sosial, ekonomi. budaya dan bahkan ideologi. Sejarah perkembangan ilmi, rxngetahuan temyata akrab dengan situasi seperti itu. misalnya pada zaman Yunani kuno bercorak kosmosentrisme, zaman abad pertengahan bercorak antreposentrisme dan zaman kontemporer bercorak logosentrisme. Perkembangan itü menandakan bahwa dinamika pemikiran keilmuan pada dasarnya bergeral bukan darı tidak ada tetapi berbekal bahan baku pemikiran yang ada kemudian dikembangkan ke arah sesuatu yang baru sesuai dengan semangat zarnannya. Dalam perkembangan, filsafat ilmu memiliki sistematika yang ditandai dengan pengkajian yang bersifat mendalam, field of scope yang jelas dan metodologi yang terarah kepada penemuan konsep-konsep dan teori kefilsfatan dan keilmuan. Melalui mekanisme seperti ini, filsafat ilmu memperoleh ladang dan tempatnya yang jelas di dalam disiplin kefilsafatan.","author":[{"dropping-particle":"","family":"Khusnan","given":"Ach","non-dropping-particle":"","parse-names":false,"suffix":""}],"container-title":"Fikroh: Jurnal Pemikiran dan Pendidikan Islam","id":"ITEM-1","issue":"1","issued":{"date-parts":[["2019","11","3"]]},"page":"76-87","title":"Diskursus Kesejarahan Ilmu Pengetahuan Dan Filsafat Ilmu","type":"article-journal","volume":"12"},"uris":["http://www.mendeley.com/documents/?uuid=eabf59e2-a402-4b56-a9ff-2df962f79281"]}],"mendeley":{"formattedCitation":"Khusnan, “Diskursus Kesejarahan Ilmu Pengetahuan Dan Filsafat Ilmu.”","plainTextFormattedCitation":"Khusnan, “Diskursus Kesejarahan Ilmu Pengetahuan Dan Filsafat Ilmu.”","previouslyFormattedCitation":"Khusnan, “Diskursus Kesejarahan Ilmu Pengetahuan Dan Filsafat Ilmu.”"},"properties":{"noteIndex":21},"schema":"https://github.com/citation-style-language/schema/raw/master/csl-citation.json"}</w:instrText>
      </w:r>
      <w:r w:rsidR="00071F8A" w:rsidRPr="00D01A5E">
        <w:rPr>
          <w:rFonts w:ascii="Garamond" w:hAnsi="Garamond"/>
        </w:rPr>
        <w:fldChar w:fldCharType="separate"/>
      </w:r>
      <w:r w:rsidRPr="00D01A5E">
        <w:rPr>
          <w:rFonts w:ascii="Garamond" w:hAnsi="Garamond"/>
          <w:noProof/>
        </w:rPr>
        <w:t>Khusnan, “Diskursus Kesejarahan Ilmu Pengetahuan Dan Filsafat Ilmu.”</w:t>
      </w:r>
      <w:r w:rsidR="00071F8A" w:rsidRPr="00D01A5E">
        <w:rPr>
          <w:rFonts w:ascii="Garamond" w:hAnsi="Garamond"/>
        </w:rPr>
        <w:fldChar w:fldCharType="end"/>
      </w:r>
    </w:p>
  </w:footnote>
  <w:footnote w:id="23">
    <w:p w:rsidR="005737C8" w:rsidRPr="00D01A5E" w:rsidRDefault="005737C8" w:rsidP="00D01A5E">
      <w:pPr>
        <w:pStyle w:val="FootnoteText"/>
        <w:ind w:firstLine="851"/>
        <w:jc w:val="both"/>
        <w:rPr>
          <w:rFonts w:ascii="Garamond" w:hAnsi="Garamond"/>
          <w:lang w:val="en-US"/>
        </w:rPr>
      </w:pPr>
      <w:r w:rsidRPr="00D01A5E">
        <w:rPr>
          <w:rStyle w:val="FootnoteReference"/>
          <w:rFonts w:ascii="Garamond" w:hAnsi="Garamond"/>
        </w:rPr>
        <w:footnoteRef/>
      </w:r>
      <w:r w:rsidRPr="00D01A5E">
        <w:rPr>
          <w:rFonts w:ascii="Garamond" w:hAnsi="Garamond"/>
        </w:rPr>
        <w:t xml:space="preserve"> </w:t>
      </w:r>
      <w:r w:rsidR="00071F8A" w:rsidRPr="00D01A5E">
        <w:rPr>
          <w:rFonts w:ascii="Garamond" w:hAnsi="Garamond"/>
        </w:rPr>
        <w:fldChar w:fldCharType="begin" w:fldLock="1"/>
      </w:r>
      <w:r w:rsidR="007349C5" w:rsidRPr="00D01A5E">
        <w:rPr>
          <w:rFonts w:ascii="Garamond" w:hAnsi="Garamond"/>
        </w:rPr>
        <w:instrText>ADDIN CSL_CITATION {"citationItems":[{"id":"ITEM-1","itemData":{"author":[{"dropping-particle":"","family":"Russel","given":"Bertrand","non-dropping-particle":"","parse-names":false,"suffix":""}],"id":"ITEM-1","issued":{"date-parts":[["2016"]]},"publisher":"Pustaka Pelajar","publisher-place":"Yogyakarta","title":"Sejarah Filsafat Barat","type":"book"},"uris":["http://www.mendeley.com/documents/?uuid=817bfb57-b2ae-4ac8-8b68-65c719668bd4"]}],"mendeley":{"formattedCitation":"Bertrand Russel, &lt;i&gt;Sejarah Filsafat Barat&lt;/i&gt; (Yogyakarta: Pustaka Pelajar, 2016).","plainTextFormattedCitation":"Bertrand Russel, Sejarah Filsafat Barat (Yogyakarta: Pustaka Pelajar, 2016).","previouslyFormattedCitation":"Bertrand Russel, &lt;i&gt;Sejarah Filsafat Barat&lt;/i&gt; (Yogyakarta: Pustaka Pelajar, 2016)."},"properties":{"noteIndex":22},"schema":"https://github.com/citation-style-language/schema/raw/master/csl-citation.json"}</w:instrText>
      </w:r>
      <w:r w:rsidR="00071F8A" w:rsidRPr="00D01A5E">
        <w:rPr>
          <w:rFonts w:ascii="Garamond" w:hAnsi="Garamond"/>
        </w:rPr>
        <w:fldChar w:fldCharType="separate"/>
      </w:r>
      <w:r w:rsidRPr="00D01A5E">
        <w:rPr>
          <w:rFonts w:ascii="Garamond" w:hAnsi="Garamond"/>
          <w:noProof/>
        </w:rPr>
        <w:t xml:space="preserve">Bertrand Russel, </w:t>
      </w:r>
      <w:r w:rsidRPr="00D01A5E">
        <w:rPr>
          <w:rFonts w:ascii="Garamond" w:hAnsi="Garamond"/>
          <w:i/>
          <w:noProof/>
        </w:rPr>
        <w:t>Sejarah Filsafat Barat</w:t>
      </w:r>
      <w:r w:rsidRPr="00D01A5E">
        <w:rPr>
          <w:rFonts w:ascii="Garamond" w:hAnsi="Garamond"/>
          <w:noProof/>
        </w:rPr>
        <w:t xml:space="preserve"> (Yogyakarta: Pustaka Pelajar, 2016).</w:t>
      </w:r>
      <w:r w:rsidR="00071F8A" w:rsidRPr="00D01A5E">
        <w:rPr>
          <w:rFonts w:ascii="Garamond" w:hAnsi="Garamond"/>
        </w:rPr>
        <w:fldChar w:fldCharType="end"/>
      </w:r>
    </w:p>
  </w:footnote>
  <w:footnote w:id="24">
    <w:p w:rsidR="007349C5" w:rsidRPr="00D01A5E" w:rsidRDefault="007349C5" w:rsidP="00D01A5E">
      <w:pPr>
        <w:pStyle w:val="FootnoteText"/>
        <w:ind w:firstLine="851"/>
        <w:jc w:val="both"/>
        <w:rPr>
          <w:rFonts w:ascii="Garamond" w:hAnsi="Garamond"/>
          <w:lang w:val="en-US"/>
        </w:rPr>
      </w:pPr>
      <w:r w:rsidRPr="00D01A5E">
        <w:rPr>
          <w:rStyle w:val="FootnoteReference"/>
          <w:rFonts w:ascii="Garamond" w:hAnsi="Garamond"/>
        </w:rPr>
        <w:footnoteRef/>
      </w:r>
      <w:r w:rsidRPr="00D01A5E">
        <w:rPr>
          <w:rFonts w:ascii="Garamond" w:hAnsi="Garamond"/>
        </w:rPr>
        <w:t xml:space="preserve"> </w:t>
      </w:r>
      <w:r w:rsidR="00071F8A" w:rsidRPr="00D01A5E">
        <w:rPr>
          <w:rFonts w:ascii="Garamond" w:hAnsi="Garamond"/>
        </w:rPr>
        <w:fldChar w:fldCharType="begin" w:fldLock="1"/>
      </w:r>
      <w:r w:rsidRPr="00D01A5E">
        <w:rPr>
          <w:rFonts w:ascii="Garamond" w:hAnsi="Garamond"/>
        </w:rPr>
        <w:instrText>ADDIN CSL_CITATION {"citationItems":[{"id":"ITEM-1","itemData":{"DOI":"10.24235/jy.v4i2.3550","ISSN":"2528-5890","author":[{"dropping-particle":"","family":"Bisri","given":"Bisri","non-dropping-particle":"","parse-names":false,"suffix":""}],"container-title":"JURNAL YAQZHAN: Analisis Filsafat, Agama dan Kemanusiaan","id":"ITEM-1","issue":"2","issued":{"date-parts":[["2018","12","1"]]},"page":"309-329","title":"Perenialisme Pemikiran Etika Santo Augustinus (Dari Theologi ke Filsafat Keabadian)","type":"article-journal","volume":"4"},"uris":["http://www.mendeley.com/documents/?uuid=12982383-d1ed-49a1-8e51-99e483dbf63f"]}],"mendeley":{"formattedCitation":"Bisri Bisri, “Perenialisme Pemikiran Etika Santo Augustinus (Dari Theologi Ke Filsafat Keabadian),” &lt;i&gt;JURNAL YAQZHAN: Analisis Filsafat, Agama Dan Kemanusiaan&lt;/i&gt; 4, no. 2 (December 1, 2018): 309–29, https://doi.org/10.24235/jy.v4i2.3550.","plainTextFormattedCitation":"Bisri Bisri, “Perenialisme Pemikiran Etika Santo Augustinus (Dari Theologi Ke Filsafat Keabadian),” JURNAL YAQZHAN: Analisis Filsafat, Agama Dan Kemanusiaan 4, no. 2 (December 1, 2018): 309–29, https://doi.org/10.24235/jy.v4i2.3550.","previouslyFormattedCitation":"Bisri Bisri, “Perenialisme Pemikiran Etika Santo Augustinus (Dari Theologi Ke Filsafat Keabadian),” &lt;i&gt;JURNAL YAQZHAN: Analisis Filsafat, Agama Dan Kemanusiaan&lt;/i&gt; 4, no. 2 (December 1, 2018): 309–29, https://doi.org/10.24235/jy.v4i2.3550."},"properties":{"noteIndex":23},"schema":"https://github.com/citation-style-language/schema/raw/master/csl-citation.json"}</w:instrText>
      </w:r>
      <w:r w:rsidR="00071F8A" w:rsidRPr="00D01A5E">
        <w:rPr>
          <w:rFonts w:ascii="Garamond" w:hAnsi="Garamond"/>
        </w:rPr>
        <w:fldChar w:fldCharType="separate"/>
      </w:r>
      <w:r w:rsidRPr="00D01A5E">
        <w:rPr>
          <w:rFonts w:ascii="Garamond" w:hAnsi="Garamond"/>
          <w:noProof/>
        </w:rPr>
        <w:t xml:space="preserve">Bisri Bisri, “Perenialisme Pemikiran Etika Santo Augustinus (Dari Theologi Ke Filsafat Keabadian),” </w:t>
      </w:r>
      <w:r w:rsidRPr="00D01A5E">
        <w:rPr>
          <w:rFonts w:ascii="Garamond" w:hAnsi="Garamond"/>
          <w:i/>
          <w:noProof/>
        </w:rPr>
        <w:t>JURNAL YAQZHAN: Analisis Filsafat, Agama Dan Kemanusiaan</w:t>
      </w:r>
      <w:r w:rsidRPr="00D01A5E">
        <w:rPr>
          <w:rFonts w:ascii="Garamond" w:hAnsi="Garamond"/>
          <w:noProof/>
        </w:rPr>
        <w:t xml:space="preserve"> 4, no. 2 (December 1, 2018): 309–29, https://doi.org/10.24235/jy.v4i2.3550.</w:t>
      </w:r>
      <w:r w:rsidR="00071F8A" w:rsidRPr="00D01A5E">
        <w:rPr>
          <w:rFonts w:ascii="Garamond" w:hAnsi="Garamond"/>
        </w:rPr>
        <w:fldChar w:fldCharType="end"/>
      </w:r>
    </w:p>
  </w:footnote>
  <w:footnote w:id="25">
    <w:p w:rsidR="007349C5" w:rsidRPr="00D01A5E" w:rsidRDefault="007349C5" w:rsidP="00D01A5E">
      <w:pPr>
        <w:pStyle w:val="FootnoteText"/>
        <w:ind w:firstLine="851"/>
        <w:jc w:val="both"/>
        <w:rPr>
          <w:rFonts w:ascii="Garamond" w:hAnsi="Garamond"/>
          <w:lang w:val="en-US"/>
        </w:rPr>
      </w:pPr>
      <w:r w:rsidRPr="00D01A5E">
        <w:rPr>
          <w:rStyle w:val="FootnoteReference"/>
          <w:rFonts w:ascii="Garamond" w:hAnsi="Garamond"/>
        </w:rPr>
        <w:footnoteRef/>
      </w:r>
      <w:r w:rsidRPr="00D01A5E">
        <w:rPr>
          <w:rFonts w:ascii="Garamond" w:hAnsi="Garamond"/>
        </w:rPr>
        <w:t xml:space="preserve"> </w:t>
      </w:r>
      <w:r w:rsidR="00071F8A" w:rsidRPr="00D01A5E">
        <w:rPr>
          <w:rFonts w:ascii="Garamond" w:hAnsi="Garamond"/>
        </w:rPr>
        <w:fldChar w:fldCharType="begin" w:fldLock="1"/>
      </w:r>
      <w:r w:rsidR="007B79B7" w:rsidRPr="00D01A5E">
        <w:rPr>
          <w:rFonts w:ascii="Garamond" w:hAnsi="Garamond"/>
        </w:rPr>
        <w:instrText>ADDIN CSL_CITATION {"citationItems":[{"id":"ITEM-1","itemData":{"DOI":"10.34128/jht.v3i1.31","ISSN":"2614-3682","abstract":"Tuhan dipahami sebagai zat Mahakuasa dan asas dari suatu kepercayaan. Definisi tentang Tuhan Â tidak memiliki kesepakatan, terdapat berbagai konsep ketuhanan. Dalam pandangan teisme, Tuhan merupakan pencipta sekaligus pengatur segala kejadian di alam semesta. Menurut deisme, Tuhan merupakan pencipta alam semesta, namun tidak ikut campur dalam kejadian di alam semesta. Menurut panteisme, Tuhan merupakan alam semesta itu sendiri. Penganut monoteisme peracya bahwa Tuhan hanya ada satu, serta tidak berwujud (tanpa materi), memiliki pribadi, sumber segala kewajiban moral, dan â€œhal terbesar yang dapat direnungkanâ€</w:instrText>
      </w:r>
      <w:r w:rsidR="007B79B7" w:rsidRPr="00D01A5E">
        <w:rPr>
          <w:rFonts w:ascii="Garamond" w:hAnsi="Garamond" w:cs="Garamond"/>
        </w:rPr>
        <w:instrText></w:instrText>
      </w:r>
      <w:r w:rsidR="007B79B7" w:rsidRPr="00D01A5E">
        <w:rPr>
          <w:rFonts w:ascii="Garamond" w:hAnsi="Garamond"/>
        </w:rPr>
        <w:instrText>. Akibat konsep ketuhanan yang berbeda-beda itulah, banyak gagasan tentang sosok Tuhan, sifat-sifat yang dimiliki-Nya, bahkan hakikat Tuhan pun terus dipermasalahkan. Siapakah dan bagaimanakah Tuhan terus dicari oleh manusia sebagai fitrah seorang hamba yang akan selalu memerlukan eksistensi tertinggi yang dapat menjadi tempat bertumpu dan berlindung. Filsafat ketuhanan mengajarkan manusia mengenal tuhan melalui akal pikiran semata-mata yanag kemudian kebenarannya didapati sesuai dengan wahyu (kitab suci).Dengan kata lain, bahwa baik agama mauapun filsafat ketuhanan sama-sama bertolak dari pangkalan pelajaran ketuhanan, tetapi jalan yang ditempuh berbeda.","author":[{"dropping-particle":"","family":"Noor","given":"Muhammad","non-dropping-particle":"","parse-names":false,"suffix":""}],"container-title":"Jurnal Humaniora Teknologi","id":"ITEM-1","issue":"1","issued":{"date-parts":[["2018","8","23"]]},"page":"28-32","title":"Filsafat Ketuhanan","type":"article-journal","volume":"3"},"uris":["http://www.mendeley.com/documents/?uuid=30c3aed0-13c2-4b51-bf16-468ff0517806"]}],"mendeley":{"formattedCitation":"Muhammad Noor, “Filsafat Ketuhanan,” &lt;i&gt;Jurnal Humaniora Teknologi&lt;/i&gt; 3, no. 1 (August 23, 2018): 28–32, https://doi.org/10.34128/jht.v3i1.31.","plainTextFormattedCitation":"Muhammad Noor, “Filsafat Ketuhanan,” Jurnal Humaniora Teknologi 3, no. 1 (August 23, 2018): 28–32, https://doi.org/10.34128/jht.v3i1.31.","previouslyFormattedCitation":"Muhammad Noor, “Filsafat Ketuhanan,” &lt;i&gt;Jurnal Humaniora Teknologi&lt;/i&gt; 3, no. 1 (August 23, 2018): 28–32, https://doi.org/10.34128/jht.v3i1.31."},"properties":{"noteIndex":24},"schema":"https://github.com/citation-style-language/schema/raw/master/csl-citation.json"}</w:instrText>
      </w:r>
      <w:r w:rsidR="00071F8A" w:rsidRPr="00D01A5E">
        <w:rPr>
          <w:rFonts w:ascii="Garamond" w:hAnsi="Garamond"/>
        </w:rPr>
        <w:fldChar w:fldCharType="separate"/>
      </w:r>
      <w:r w:rsidRPr="00D01A5E">
        <w:rPr>
          <w:rFonts w:ascii="Garamond" w:hAnsi="Garamond"/>
          <w:noProof/>
        </w:rPr>
        <w:t xml:space="preserve">Muhammad Noor, “Filsafat Ketuhanan,” </w:t>
      </w:r>
      <w:r w:rsidRPr="00D01A5E">
        <w:rPr>
          <w:rFonts w:ascii="Garamond" w:hAnsi="Garamond"/>
          <w:i/>
          <w:noProof/>
        </w:rPr>
        <w:t>Jurnal Humaniora Teknologi</w:t>
      </w:r>
      <w:r w:rsidRPr="00D01A5E">
        <w:rPr>
          <w:rFonts w:ascii="Garamond" w:hAnsi="Garamond"/>
          <w:noProof/>
        </w:rPr>
        <w:t xml:space="preserve"> 3, no. 1 (August 23, 2018): 28–32, https://doi.org/10.34128/jht.v3i1.31.</w:t>
      </w:r>
      <w:r w:rsidR="00071F8A" w:rsidRPr="00D01A5E">
        <w:rPr>
          <w:rFonts w:ascii="Garamond" w:hAnsi="Garamond"/>
        </w:rPr>
        <w:fldChar w:fldCharType="end"/>
      </w:r>
    </w:p>
  </w:footnote>
  <w:footnote w:id="26">
    <w:p w:rsidR="007B79B7" w:rsidRPr="00D01A5E" w:rsidRDefault="007B79B7" w:rsidP="00D01A5E">
      <w:pPr>
        <w:pStyle w:val="FootnoteText"/>
        <w:ind w:firstLine="851"/>
        <w:jc w:val="both"/>
        <w:rPr>
          <w:rFonts w:ascii="Garamond" w:hAnsi="Garamond"/>
          <w:lang w:val="en-US"/>
        </w:rPr>
      </w:pPr>
      <w:r w:rsidRPr="00D01A5E">
        <w:rPr>
          <w:rStyle w:val="FootnoteReference"/>
          <w:rFonts w:ascii="Garamond" w:hAnsi="Garamond"/>
        </w:rPr>
        <w:footnoteRef/>
      </w:r>
      <w:r w:rsidRPr="00D01A5E">
        <w:rPr>
          <w:rFonts w:ascii="Garamond" w:hAnsi="Garamond"/>
        </w:rPr>
        <w:t xml:space="preserve"> </w:t>
      </w:r>
      <w:r w:rsidR="00071F8A" w:rsidRPr="00D01A5E">
        <w:rPr>
          <w:rFonts w:ascii="Garamond" w:hAnsi="Garamond"/>
        </w:rPr>
        <w:fldChar w:fldCharType="begin" w:fldLock="1"/>
      </w:r>
      <w:r w:rsidRPr="00D01A5E">
        <w:rPr>
          <w:rFonts w:ascii="Garamond" w:hAnsi="Garamond"/>
        </w:rPr>
        <w:instrText>ADDIN CSL_CITATION {"citationItems":[{"id":"ITEM-1","itemData":{"author":[{"dropping-particle":"","family":"Hardiman","given":"Fransisco Budi","non-dropping-particle":"","parse-names":false,"suffix":""}],"id":"ITEM-1","issued":{"date-parts":[["2008"]]},"publisher":"Gramedia","publisher-place":"Jakarta","title":"Filsafat Barat","type":"book"},"uris":["http://www.mendeley.com/documents/?uuid=7d81c8a1-4c0b-4963-8f69-69bacd2b60e7"]}],"mendeley":{"formattedCitation":"Fransisco Budi Hardiman, &lt;i&gt;Filsafat Barat&lt;/i&gt; (Jakarta: Gramedia, 2008).","plainTextFormattedCitation":"Fransisco Budi Hardiman, Filsafat Barat (Jakarta: Gramedia, 2008).","previouslyFormattedCitation":"Fransisco Budi Hardiman, &lt;i&gt;Filsafat Barat&lt;/i&gt; (Jakarta: Gramedia, 2008)."},"properties":{"noteIndex":25},"schema":"https://github.com/citation-style-language/schema/raw/master/csl-citation.json"}</w:instrText>
      </w:r>
      <w:r w:rsidR="00071F8A" w:rsidRPr="00D01A5E">
        <w:rPr>
          <w:rFonts w:ascii="Garamond" w:hAnsi="Garamond"/>
        </w:rPr>
        <w:fldChar w:fldCharType="separate"/>
      </w:r>
      <w:r w:rsidRPr="00D01A5E">
        <w:rPr>
          <w:rFonts w:ascii="Garamond" w:hAnsi="Garamond"/>
          <w:noProof/>
        </w:rPr>
        <w:t xml:space="preserve">Fransisco Budi Hardiman, </w:t>
      </w:r>
      <w:r w:rsidRPr="00D01A5E">
        <w:rPr>
          <w:rFonts w:ascii="Garamond" w:hAnsi="Garamond"/>
          <w:i/>
          <w:noProof/>
        </w:rPr>
        <w:t>Filsafat Barat</w:t>
      </w:r>
      <w:r w:rsidRPr="00D01A5E">
        <w:rPr>
          <w:rFonts w:ascii="Garamond" w:hAnsi="Garamond"/>
          <w:noProof/>
        </w:rPr>
        <w:t xml:space="preserve"> (Jakarta: Gramedia, 2008).</w:t>
      </w:r>
      <w:r w:rsidR="00071F8A" w:rsidRPr="00D01A5E">
        <w:rPr>
          <w:rFonts w:ascii="Garamond" w:hAnsi="Garamond"/>
        </w:rPr>
        <w:fldChar w:fldCharType="end"/>
      </w:r>
    </w:p>
  </w:footnote>
  <w:footnote w:id="27">
    <w:p w:rsidR="007B79B7" w:rsidRPr="00D01A5E" w:rsidRDefault="007B79B7" w:rsidP="00D01A5E">
      <w:pPr>
        <w:pStyle w:val="FootnoteText"/>
        <w:ind w:firstLine="851"/>
        <w:jc w:val="both"/>
        <w:rPr>
          <w:rFonts w:ascii="Garamond" w:hAnsi="Garamond"/>
          <w:lang w:val="en-US"/>
        </w:rPr>
      </w:pPr>
      <w:r w:rsidRPr="00D01A5E">
        <w:rPr>
          <w:rStyle w:val="FootnoteReference"/>
          <w:rFonts w:ascii="Garamond" w:hAnsi="Garamond"/>
        </w:rPr>
        <w:footnoteRef/>
      </w:r>
      <w:r w:rsidRPr="00D01A5E">
        <w:rPr>
          <w:rFonts w:ascii="Garamond" w:hAnsi="Garamond"/>
        </w:rPr>
        <w:t xml:space="preserve"> </w:t>
      </w:r>
      <w:r w:rsidR="00071F8A" w:rsidRPr="00D01A5E">
        <w:rPr>
          <w:rFonts w:ascii="Garamond" w:hAnsi="Garamond"/>
        </w:rPr>
        <w:fldChar w:fldCharType="begin" w:fldLock="1"/>
      </w:r>
      <w:r w:rsidR="00C24CFD" w:rsidRPr="00D01A5E">
        <w:rPr>
          <w:rFonts w:ascii="Garamond" w:hAnsi="Garamond"/>
        </w:rPr>
        <w:instrText>ADDIN CSL_CITATION {"citationItems":[{"id":"ITEM-1","itemData":{"DOI":"10.22219/progresiva.v13i03.37102","ISSN":"2684-9585","abstract":"With the increasing irresponsible exploitation of natural resources, environmental damage has become increasingly concerning, particularly in the mining sector, which has a broad impact on ecosystems and the livelihoods of surrounding communities. The environmental crisis caused by mining activities in Indonesia demands a new approach to more sustainable resource management. This study aims to explore the role of religious moderation from the perspective of eco-theology, which has the potential to offer solutions for natural resource management. Eco-theology provides spiritual principles that can be integrated into environmental policies, creating a balance between economic interests, ecology, and societal well-being. This research is a literature review employing a descriptive analysis method. The results show that eco-theology offers a relevant framework for shifting the paradigm of mining management from anthropocentrism to ecocentrism. Religious organizations have great potential to promote sustainable mining management by incorporating spiritual values into environmental practices. Religious moderation serves as a foundational pillar in strengthening ecological awareness, improving the relationship between humans and nature, and encouraging sustainable development aligned with religious principles.","author":[{"dropping-particle":"","family":"Hidayatulloh","given":"Taufik","non-dropping-particle":"","parse-names":false,"suffix":""},{"dropping-particle":"","family":"Long","given":"Ahmad Sunawari","non-dropping-particle":"","parse-names":false,"suffix":""},{"dropping-particle":"","family":"Irawan","given":"","non-dropping-particle":"","parse-names":false,"suffix":""},{"dropping-particle":"","family":"Saumantri","given":"Theguh","non-dropping-particle":"","parse-names":false,"suffix":""}],"container-title":"Progresiva: Journal of Islamic Thought and Education","id":"ITEM-1","issue":"03","issued":{"date-parts":[["2024","12","8"]]},"page":"379-392","title":"Eco-theology in islamic thought: Religious moderation and organizational roles in mining management in indonesia","type":"article-journal","volume":"13"},"uris":["http://www.mendeley.com/documents/?uuid=1f13db65-3ea5-4774-8853-81a95c3e4186"]}],"mendeley":{"formattedCitation":"Taufik Hidayatulloh et al., “Eco-Theology in Islamic Thought: Religious Moderation and Organizational Roles in Mining Management in Indonesia,” &lt;i&gt;Progresiva: Journal of Islamic Thought and Education&lt;/i&gt; 13, no. 03 (December 8, 2024): 379–92, https://doi.org/10.22219/progresiva.v13i03.37102.","plainTextFormattedCitation":"Taufik Hidayatulloh et al., “Eco-Theology in Islamic Thought: Religious Moderation and Organizational Roles in Mining Management in Indonesia,” Progresiva: Journal of Islamic Thought and Education 13, no. 03 (December 8, 2024): 379–92, https://doi.org/10.22219/progresiva.v13i03.37102.","previouslyFormattedCitation":"Taufik Hidayatulloh et al., “Eco-Theology in Islamic Thought: Religious Moderation and Organizational Roles in Mining Management in Indonesia,” &lt;i&gt;Progresiva: Journal of Islamic Thought and Education&lt;/i&gt; 13, no. 03 (December 8, 2024): 379–92, https://doi.org/10.22219/progresiva.v13i03.37102."},"properties":{"noteIndex":26},"schema":"https://github.com/citation-style-language/schema/raw/master/csl-citation.json"}</w:instrText>
      </w:r>
      <w:r w:rsidR="00071F8A" w:rsidRPr="00D01A5E">
        <w:rPr>
          <w:rFonts w:ascii="Garamond" w:hAnsi="Garamond"/>
        </w:rPr>
        <w:fldChar w:fldCharType="separate"/>
      </w:r>
      <w:r w:rsidRPr="00D01A5E">
        <w:rPr>
          <w:rFonts w:ascii="Garamond" w:hAnsi="Garamond"/>
          <w:noProof/>
        </w:rPr>
        <w:t xml:space="preserve">Taufik Hidayatulloh et al., “Eco-Theology in Islamic Thought: Religious Moderation and Organizational Roles in Mining Management in Indonesia,” </w:t>
      </w:r>
      <w:r w:rsidRPr="00D01A5E">
        <w:rPr>
          <w:rFonts w:ascii="Garamond" w:hAnsi="Garamond"/>
          <w:i/>
          <w:noProof/>
        </w:rPr>
        <w:t>Progresiva: Journal of Islamic Thought and Education</w:t>
      </w:r>
      <w:r w:rsidRPr="00D01A5E">
        <w:rPr>
          <w:rFonts w:ascii="Garamond" w:hAnsi="Garamond"/>
          <w:noProof/>
        </w:rPr>
        <w:t xml:space="preserve"> 13, no. 03 (December 8, 2024): 379–92, https://doi.org/10.22219/progresiva.v13i03.37102.</w:t>
      </w:r>
      <w:r w:rsidR="00071F8A" w:rsidRPr="00D01A5E">
        <w:rPr>
          <w:rFonts w:ascii="Garamond" w:hAnsi="Garamond"/>
        </w:rPr>
        <w:fldChar w:fldCharType="end"/>
      </w:r>
    </w:p>
  </w:footnote>
  <w:footnote w:id="28">
    <w:p w:rsidR="00C24CFD" w:rsidRPr="00D01A5E" w:rsidRDefault="00C24CFD" w:rsidP="00D01A5E">
      <w:pPr>
        <w:pStyle w:val="FootnoteText"/>
        <w:ind w:firstLine="851"/>
        <w:jc w:val="both"/>
        <w:rPr>
          <w:rFonts w:ascii="Garamond" w:hAnsi="Garamond"/>
          <w:lang w:val="en-US"/>
        </w:rPr>
      </w:pPr>
      <w:r w:rsidRPr="00D01A5E">
        <w:rPr>
          <w:rStyle w:val="FootnoteReference"/>
          <w:rFonts w:ascii="Garamond" w:hAnsi="Garamond"/>
        </w:rPr>
        <w:footnoteRef/>
      </w:r>
      <w:r w:rsidRPr="00D01A5E">
        <w:rPr>
          <w:rFonts w:ascii="Garamond" w:hAnsi="Garamond"/>
        </w:rPr>
        <w:t xml:space="preserve"> </w:t>
      </w:r>
      <w:r w:rsidR="00071F8A" w:rsidRPr="00D01A5E">
        <w:rPr>
          <w:rFonts w:ascii="Garamond" w:hAnsi="Garamond"/>
        </w:rPr>
        <w:fldChar w:fldCharType="begin" w:fldLock="1"/>
      </w:r>
      <w:r w:rsidRPr="00D01A5E">
        <w:rPr>
          <w:rFonts w:ascii="Garamond" w:hAnsi="Garamond"/>
        </w:rPr>
        <w:instrText>ADDIN CSL_CITATION {"citationItems":[{"id":"ITEM-1","itemData":{"DOI":"http://dx.doi.org/10.24014/jush.v22i2.731","author":[{"dropping-particle":"","family":"Saifullah","given":"Saifullah","non-dropping-particle":"","parse-names":false,"suffix":""}],"container-title":"Jurnal Ushuluddin","id":"ITEM-1","issue":"2","issued":{"date-parts":[["2014"]]},"page":"133-144","title":"Renaissance dan Humanisme Sebagai Jembatan Lahirnya Filsafat Modern","type":"article-journal","volume":"22"},"uris":["http://www.mendeley.com/documents/?uuid=94e45e47-2354-4b3f-ac86-0a065bfb76da"]}],"mendeley":{"formattedCitation":"Saifullah Saifullah, “Renaissance Dan Humanisme Sebagai Jembatan Lahirnya Filsafat Modern,” &lt;i&gt;Jurnal Ushuluddin&lt;/i&gt; 22, no. 2 (2014): 133–44, https://doi.org/http://dx.doi.org/10.24014/jush.v22i2.731.","plainTextFormattedCitation":"Saifullah Saifullah, “Renaissance Dan Humanisme Sebagai Jembatan Lahirnya Filsafat Modern,” Jurnal Ushuluddin 22, no. 2 (2014): 133–44, https://doi.org/http://dx.doi.org/10.24014/jush.v22i2.731.","previouslyFormattedCitation":"Saifullah Saifullah, “Renaissance Dan Humanisme Sebagai Jembatan Lahirnya Filsafat Modern,” &lt;i&gt;Jurnal Ushuluddin&lt;/i&gt; 22, no. 2 (2014): 133–44, https://doi.org/http://dx.doi.org/10.24014/jush.v22i2.731."},"properties":{"noteIndex":27},"schema":"https://github.com/citation-style-language/schema/raw/master/csl-citation.json"}</w:instrText>
      </w:r>
      <w:r w:rsidR="00071F8A" w:rsidRPr="00D01A5E">
        <w:rPr>
          <w:rFonts w:ascii="Garamond" w:hAnsi="Garamond"/>
        </w:rPr>
        <w:fldChar w:fldCharType="separate"/>
      </w:r>
      <w:r w:rsidRPr="00D01A5E">
        <w:rPr>
          <w:rFonts w:ascii="Garamond" w:hAnsi="Garamond"/>
          <w:noProof/>
        </w:rPr>
        <w:t xml:space="preserve">Saifullah Saifullah, “Renaissance Dan Humanisme Sebagai Jembatan Lahirnya Filsafat Modern,” </w:t>
      </w:r>
      <w:r w:rsidRPr="00D01A5E">
        <w:rPr>
          <w:rFonts w:ascii="Garamond" w:hAnsi="Garamond"/>
          <w:i/>
          <w:noProof/>
        </w:rPr>
        <w:t>Jurnal Ushuluddin</w:t>
      </w:r>
      <w:r w:rsidRPr="00D01A5E">
        <w:rPr>
          <w:rFonts w:ascii="Garamond" w:hAnsi="Garamond"/>
          <w:noProof/>
        </w:rPr>
        <w:t xml:space="preserve"> 22, no. 2 (2014): 133–44, https://doi.org/http://dx.doi.org/10.24014/jush.v22i2.731.</w:t>
      </w:r>
      <w:r w:rsidR="00071F8A" w:rsidRPr="00D01A5E">
        <w:rPr>
          <w:rFonts w:ascii="Garamond" w:hAnsi="Garamond"/>
        </w:rPr>
        <w:fldChar w:fldCharType="end"/>
      </w:r>
    </w:p>
  </w:footnote>
  <w:footnote w:id="29">
    <w:p w:rsidR="00C24CFD" w:rsidRPr="00D01A5E" w:rsidRDefault="00C24CFD" w:rsidP="00D01A5E">
      <w:pPr>
        <w:pStyle w:val="FootnoteText"/>
        <w:ind w:firstLine="851"/>
        <w:jc w:val="both"/>
        <w:rPr>
          <w:rFonts w:ascii="Garamond" w:hAnsi="Garamond"/>
          <w:lang w:val="en-US"/>
        </w:rPr>
      </w:pPr>
      <w:r w:rsidRPr="00D01A5E">
        <w:rPr>
          <w:rStyle w:val="FootnoteReference"/>
          <w:rFonts w:ascii="Garamond" w:hAnsi="Garamond"/>
        </w:rPr>
        <w:footnoteRef/>
      </w:r>
      <w:r w:rsidRPr="00D01A5E">
        <w:rPr>
          <w:rFonts w:ascii="Garamond" w:hAnsi="Garamond"/>
        </w:rPr>
        <w:t xml:space="preserve"> </w:t>
      </w:r>
      <w:r w:rsidR="00071F8A" w:rsidRPr="00D01A5E">
        <w:rPr>
          <w:rFonts w:ascii="Garamond" w:hAnsi="Garamond"/>
        </w:rPr>
        <w:fldChar w:fldCharType="begin" w:fldLock="1"/>
      </w:r>
      <w:r w:rsidRPr="00D01A5E">
        <w:rPr>
          <w:rFonts w:ascii="Garamond" w:hAnsi="Garamond"/>
        </w:rPr>
        <w:instrText>ADDIN CSL_CITATION {"citationItems":[{"id":"ITEM-1","itemData":{"author":[{"dropping-particle":"","family":"Saumantri","given":"Theguh","non-dropping-particle":"","parse-names":false,"suffix":""}],"id":"ITEM-1","issued":{"date-parts":[["2022"]]},"publisher":"CV. Brimedia Global","publisher-place":"Bengkulu","title":"Filsafat Ilmu (Sebuah Dialektika Ilmu Pengetahuan)","type":"book"},"uris":["http://www.mendeley.com/documents/?uuid=cbfd342e-c7d2-44f3-a9b9-ccd8b67be836"]}],"mendeley":{"formattedCitation":"Saumantri, &lt;i&gt;Filsafat Ilmu (Sebuah Dialektika Ilmu Pengetahuan)&lt;/i&gt;.","plainTextFormattedCitation":"Saumantri, Filsafat Ilmu (Sebuah Dialektika Ilmu Pengetahuan).","previouslyFormattedCitation":"Saumantri, &lt;i&gt;Filsafat Ilmu (Sebuah Dialektika Ilmu Pengetahuan)&lt;/i&gt;."},"properties":{"noteIndex":28},"schema":"https://github.com/citation-style-language/schema/raw/master/csl-citation.json"}</w:instrText>
      </w:r>
      <w:r w:rsidR="00071F8A" w:rsidRPr="00D01A5E">
        <w:rPr>
          <w:rFonts w:ascii="Garamond" w:hAnsi="Garamond"/>
        </w:rPr>
        <w:fldChar w:fldCharType="separate"/>
      </w:r>
      <w:r w:rsidRPr="00D01A5E">
        <w:rPr>
          <w:rFonts w:ascii="Garamond" w:hAnsi="Garamond"/>
          <w:noProof/>
        </w:rPr>
        <w:t xml:space="preserve">Saumantri, </w:t>
      </w:r>
      <w:r w:rsidRPr="00D01A5E">
        <w:rPr>
          <w:rFonts w:ascii="Garamond" w:hAnsi="Garamond"/>
          <w:i/>
          <w:noProof/>
        </w:rPr>
        <w:t>Filsafat Ilmu (Sebuah Dialektika Ilmu Pengetahuan)</w:t>
      </w:r>
      <w:r w:rsidRPr="00D01A5E">
        <w:rPr>
          <w:rFonts w:ascii="Garamond" w:hAnsi="Garamond"/>
          <w:noProof/>
        </w:rPr>
        <w:t>.</w:t>
      </w:r>
      <w:r w:rsidR="00071F8A" w:rsidRPr="00D01A5E">
        <w:rPr>
          <w:rFonts w:ascii="Garamond" w:hAnsi="Garamond"/>
        </w:rPr>
        <w:fldChar w:fldCharType="end"/>
      </w:r>
    </w:p>
  </w:footnote>
  <w:footnote w:id="30">
    <w:p w:rsidR="00C24CFD" w:rsidRPr="00D01A5E" w:rsidRDefault="00C24CFD" w:rsidP="00D01A5E">
      <w:pPr>
        <w:pStyle w:val="FootnoteText"/>
        <w:ind w:firstLine="851"/>
        <w:jc w:val="both"/>
        <w:rPr>
          <w:rFonts w:ascii="Garamond" w:hAnsi="Garamond"/>
          <w:lang w:val="en-US"/>
        </w:rPr>
      </w:pPr>
      <w:r w:rsidRPr="00D01A5E">
        <w:rPr>
          <w:rStyle w:val="FootnoteReference"/>
          <w:rFonts w:ascii="Garamond" w:hAnsi="Garamond"/>
        </w:rPr>
        <w:footnoteRef/>
      </w:r>
      <w:r w:rsidRPr="00D01A5E">
        <w:rPr>
          <w:rFonts w:ascii="Garamond" w:hAnsi="Garamond"/>
        </w:rPr>
        <w:t xml:space="preserve"> </w:t>
      </w:r>
      <w:r w:rsidR="00071F8A" w:rsidRPr="00D01A5E">
        <w:rPr>
          <w:rFonts w:ascii="Garamond" w:hAnsi="Garamond"/>
        </w:rPr>
        <w:fldChar w:fldCharType="begin" w:fldLock="1"/>
      </w:r>
      <w:r w:rsidRPr="00D01A5E">
        <w:rPr>
          <w:rFonts w:ascii="Garamond" w:hAnsi="Garamond"/>
        </w:rPr>
        <w:instrText>ADDIN CSL_CITATION {"citationItems":[{"id":"ITEM-1","itemData":{"DOI":"https://doi.org/10.23887/jfi.v6i3.58381","author":[{"dropping-particle":"","family":"Saumantri","given":"Theguh","non-dropping-particle":"","parse-names":false,"suffix":""}],"container-title":"Jurnal Filsafat Indonesia","id":"ITEM-1","issue":"3","issued":{"date-parts":[["2023"]]},"page":"455-464","title":"Hegel’s Rationalism: The Dialectical Method of Approaching Metaphysical Problems","type":"article-journal","volume":"6"},"uris":["http://www.mendeley.com/documents/?uuid=abd3309f-4bd6-4503-9edc-2e63cfc9df95"]}],"mendeley":{"formattedCitation":"Theguh Saumantri, “Hegel’s Rationalism: The Dialectical Method of Approaching Metaphysical Problems,” &lt;i&gt;Jurnal Filsafat Indonesia&lt;/i&gt; 6, no. 3 (2023): 455–64, https://doi.org/https://doi.org/10.23887/jfi.v6i3.58381.","plainTextFormattedCitation":"Theguh Saumantri, “Hegel’s Rationalism: The Dialectical Method of Approaching Metaphysical Problems,” Jurnal Filsafat Indonesia 6, no. 3 (2023): 455–64, https://doi.org/https://doi.org/10.23887/jfi.v6i3.58381.","previouslyFormattedCitation":"Theguh Saumantri, “Hegel’s Rationalism: The Dialectical Method of Approaching Metaphysical Problems,” &lt;i&gt;Jurnal Filsafat Indonesia&lt;/i&gt; 6, no. 3 (2023): 455–64, https://doi.org/https://doi.org/10.23887/jfi.v6i3.58381."},"properties":{"noteIndex":29},"schema":"https://github.com/citation-style-language/schema/raw/master/csl-citation.json"}</w:instrText>
      </w:r>
      <w:r w:rsidR="00071F8A" w:rsidRPr="00D01A5E">
        <w:rPr>
          <w:rFonts w:ascii="Garamond" w:hAnsi="Garamond"/>
        </w:rPr>
        <w:fldChar w:fldCharType="separate"/>
      </w:r>
      <w:r w:rsidRPr="00D01A5E">
        <w:rPr>
          <w:rFonts w:ascii="Garamond" w:hAnsi="Garamond"/>
          <w:noProof/>
        </w:rPr>
        <w:t xml:space="preserve">Theguh Saumantri, “Hegel’s Rationalism: The Dialectical Method of Approaching Metaphysical Problems,” </w:t>
      </w:r>
      <w:r w:rsidRPr="00D01A5E">
        <w:rPr>
          <w:rFonts w:ascii="Garamond" w:hAnsi="Garamond"/>
          <w:i/>
          <w:noProof/>
        </w:rPr>
        <w:t>Jurnal Filsafat Indonesia</w:t>
      </w:r>
      <w:r w:rsidRPr="00D01A5E">
        <w:rPr>
          <w:rFonts w:ascii="Garamond" w:hAnsi="Garamond"/>
          <w:noProof/>
        </w:rPr>
        <w:t xml:space="preserve"> 6, no. 3 (2023): 455–64, https://doi.org/https://doi.org/10.23887/jfi.v6i3.58381.</w:t>
      </w:r>
      <w:r w:rsidR="00071F8A" w:rsidRPr="00D01A5E">
        <w:rPr>
          <w:rFonts w:ascii="Garamond" w:hAnsi="Garamond"/>
        </w:rPr>
        <w:fldChar w:fldCharType="end"/>
      </w:r>
    </w:p>
  </w:footnote>
  <w:footnote w:id="31">
    <w:p w:rsidR="00C24CFD" w:rsidRPr="00D01A5E" w:rsidRDefault="00C24CFD" w:rsidP="00D01A5E">
      <w:pPr>
        <w:pStyle w:val="FootnoteText"/>
        <w:ind w:firstLine="851"/>
        <w:jc w:val="both"/>
        <w:rPr>
          <w:rFonts w:ascii="Garamond" w:hAnsi="Garamond"/>
          <w:lang w:val="en-US"/>
        </w:rPr>
      </w:pPr>
      <w:r w:rsidRPr="00D01A5E">
        <w:rPr>
          <w:rStyle w:val="FootnoteReference"/>
          <w:rFonts w:ascii="Garamond" w:hAnsi="Garamond"/>
        </w:rPr>
        <w:footnoteRef/>
      </w:r>
      <w:r w:rsidRPr="00D01A5E">
        <w:rPr>
          <w:rFonts w:ascii="Garamond" w:hAnsi="Garamond"/>
        </w:rPr>
        <w:t xml:space="preserve"> </w:t>
      </w:r>
      <w:r w:rsidR="00071F8A" w:rsidRPr="00D01A5E">
        <w:rPr>
          <w:rFonts w:ascii="Garamond" w:hAnsi="Garamond"/>
        </w:rPr>
        <w:fldChar w:fldCharType="begin" w:fldLock="1"/>
      </w:r>
      <w:r w:rsidR="00C62FA5" w:rsidRPr="00D01A5E">
        <w:rPr>
          <w:rFonts w:ascii="Garamond" w:hAnsi="Garamond"/>
        </w:rPr>
        <w:instrText>ADDIN CSL_CITATION {"citationItems":[{"id":"ITEM-1","itemData":{"author":[{"dropping-particle":"","family":"Foucault","given":"Michael","non-dropping-particle":"","parse-names":false,"suffix":""}],"id":"ITEM-1","issued":{"date-parts":[["1980"]]},"publisher":"The Haervester Press","publisher-place":"London","title":"Power Knowledge: Selected Interviews and Other Writings 1972-1977","type":"book"},"uris":["http://www.mendeley.com/documents/?uuid=20132b0d-aa36-44ca-a353-3e3d003480ba"]}],"mendeley":{"formattedCitation":"Michael Foucault, &lt;i&gt;Power Knowledge: Selected Interviews and Other Writings 1972-1977&lt;/i&gt; (London: The Haervester Press, 1980).","plainTextFormattedCitation":"Michael Foucault, Power Knowledge: Selected Interviews and Other Writings 1972-1977 (London: The Haervester Press, 1980).","previouslyFormattedCitation":"Michael Foucault, &lt;i&gt;Power Knowledge: Selected Interviews and Other Writings 1972-1977&lt;/i&gt; (London: The Haervester Press, 1980)."},"properties":{"noteIndex":30},"schema":"https://github.com/citation-style-language/schema/raw/master/csl-citation.json"}</w:instrText>
      </w:r>
      <w:r w:rsidR="00071F8A" w:rsidRPr="00D01A5E">
        <w:rPr>
          <w:rFonts w:ascii="Garamond" w:hAnsi="Garamond"/>
        </w:rPr>
        <w:fldChar w:fldCharType="separate"/>
      </w:r>
      <w:r w:rsidRPr="00D01A5E">
        <w:rPr>
          <w:rFonts w:ascii="Garamond" w:hAnsi="Garamond"/>
          <w:noProof/>
        </w:rPr>
        <w:t xml:space="preserve">Michael Foucault, </w:t>
      </w:r>
      <w:r w:rsidRPr="00D01A5E">
        <w:rPr>
          <w:rFonts w:ascii="Garamond" w:hAnsi="Garamond"/>
          <w:i/>
          <w:noProof/>
        </w:rPr>
        <w:t>Power Knowledge: Selected Interviews and Other Writings 1972-1977</w:t>
      </w:r>
      <w:r w:rsidRPr="00D01A5E">
        <w:rPr>
          <w:rFonts w:ascii="Garamond" w:hAnsi="Garamond"/>
          <w:noProof/>
        </w:rPr>
        <w:t xml:space="preserve"> (London: The Haervester Press, 1980).</w:t>
      </w:r>
      <w:r w:rsidR="00071F8A" w:rsidRPr="00D01A5E">
        <w:rPr>
          <w:rFonts w:ascii="Garamond" w:hAnsi="Garamond"/>
        </w:rPr>
        <w:fldChar w:fldCharType="end"/>
      </w:r>
    </w:p>
  </w:footnote>
  <w:footnote w:id="32">
    <w:p w:rsidR="00C62FA5" w:rsidRPr="00D01A5E" w:rsidRDefault="00C62FA5" w:rsidP="00D01A5E">
      <w:pPr>
        <w:pStyle w:val="FootnoteText"/>
        <w:ind w:firstLine="851"/>
        <w:jc w:val="both"/>
        <w:rPr>
          <w:rFonts w:ascii="Garamond" w:hAnsi="Garamond"/>
          <w:lang w:val="en-US"/>
        </w:rPr>
      </w:pPr>
      <w:r w:rsidRPr="00D01A5E">
        <w:rPr>
          <w:rStyle w:val="FootnoteReference"/>
          <w:rFonts w:ascii="Garamond" w:hAnsi="Garamond"/>
        </w:rPr>
        <w:footnoteRef/>
      </w:r>
      <w:r w:rsidRPr="00D01A5E">
        <w:rPr>
          <w:rFonts w:ascii="Garamond" w:hAnsi="Garamond"/>
        </w:rPr>
        <w:t xml:space="preserve"> </w:t>
      </w:r>
      <w:r w:rsidR="00071F8A" w:rsidRPr="00D01A5E">
        <w:rPr>
          <w:rFonts w:ascii="Garamond" w:hAnsi="Garamond"/>
        </w:rPr>
        <w:fldChar w:fldCharType="begin" w:fldLock="1"/>
      </w:r>
      <w:r w:rsidR="001039F9" w:rsidRPr="00D01A5E">
        <w:rPr>
          <w:rFonts w:ascii="Garamond" w:hAnsi="Garamond"/>
        </w:rPr>
        <w:instrText>ADDIN CSL_CITATION {"citationItems":[{"id":"ITEM-1","itemData":{"author":[{"dropping-particle":"","family":"Mylius","given":"Ben","non-dropping-particle":"","parse-names":false,"suffix":""}],"container-title":"Environmental Philosophy","id":"ITEM-1","issue":"2","issued":{"date-parts":[["2018"]]},"page":"159-194","title":"Three Types of Anthropocentrism","type":"article-journal","volume":"15"},"uris":["http://www.mendeley.com/documents/?uuid=25451d4c-d91c-4f6f-9184-a82f544cdc54"]}],"mendeley":{"formattedCitation":"Ben Mylius, “Three Types of Anthropocentrism,” &lt;i&gt;Environmental Philosophy&lt;/i&gt; 15, no. 2 (2018): 159–94, https://www.jstor.org/stable/26819179.","plainTextFormattedCitation":"Ben Mylius, “Three Types of Anthropocentrism,” Environmental Philosophy 15, no. 2 (2018): 159–94, https://www.jstor.org/stable/26819179.","previouslyFormattedCitation":"Ben Mylius, “Three Types of Anthropocentrism,” &lt;i&gt;Environmental Philosophy&lt;/i&gt; 15, no. 2 (2018): 159–94, https://www.jstor.org/stable/26819179."},"properties":{"noteIndex":31},"schema":"https://github.com/citation-style-language/schema/raw/master/csl-citation.json"}</w:instrText>
      </w:r>
      <w:r w:rsidR="00071F8A" w:rsidRPr="00D01A5E">
        <w:rPr>
          <w:rFonts w:ascii="Garamond" w:hAnsi="Garamond"/>
        </w:rPr>
        <w:fldChar w:fldCharType="separate"/>
      </w:r>
      <w:r w:rsidRPr="00D01A5E">
        <w:rPr>
          <w:rFonts w:ascii="Garamond" w:hAnsi="Garamond"/>
          <w:noProof/>
        </w:rPr>
        <w:t xml:space="preserve">Ben Mylius, “Three Types of Anthropocentrism,” </w:t>
      </w:r>
      <w:r w:rsidRPr="00D01A5E">
        <w:rPr>
          <w:rFonts w:ascii="Garamond" w:hAnsi="Garamond"/>
          <w:i/>
          <w:noProof/>
        </w:rPr>
        <w:t>Environmental Philosophy</w:t>
      </w:r>
      <w:r w:rsidRPr="00D01A5E">
        <w:rPr>
          <w:rFonts w:ascii="Garamond" w:hAnsi="Garamond"/>
          <w:noProof/>
        </w:rPr>
        <w:t xml:space="preserve"> 15, no. 2 (2018): 159–94, https://www.jstor.org/stable/26819179.</w:t>
      </w:r>
      <w:r w:rsidR="00071F8A" w:rsidRPr="00D01A5E">
        <w:rPr>
          <w:rFonts w:ascii="Garamond" w:hAnsi="Garamond"/>
        </w:rPr>
        <w:fldChar w:fldCharType="end"/>
      </w:r>
    </w:p>
  </w:footnote>
  <w:footnote w:id="33">
    <w:p w:rsidR="001039F9" w:rsidRPr="00D01A5E" w:rsidRDefault="001039F9" w:rsidP="00D01A5E">
      <w:pPr>
        <w:pStyle w:val="FootnoteText"/>
        <w:ind w:firstLine="851"/>
        <w:jc w:val="both"/>
        <w:rPr>
          <w:rFonts w:ascii="Garamond" w:hAnsi="Garamond"/>
          <w:lang w:val="en-US"/>
        </w:rPr>
      </w:pPr>
      <w:r w:rsidRPr="00D01A5E">
        <w:rPr>
          <w:rStyle w:val="FootnoteReference"/>
          <w:rFonts w:ascii="Garamond" w:hAnsi="Garamond"/>
        </w:rPr>
        <w:footnoteRef/>
      </w:r>
      <w:r w:rsidRPr="00D01A5E">
        <w:rPr>
          <w:rFonts w:ascii="Garamond" w:hAnsi="Garamond"/>
        </w:rPr>
        <w:t xml:space="preserve"> </w:t>
      </w:r>
      <w:r w:rsidR="00071F8A" w:rsidRPr="00D01A5E">
        <w:rPr>
          <w:rFonts w:ascii="Garamond" w:hAnsi="Garamond"/>
        </w:rPr>
        <w:fldChar w:fldCharType="begin" w:fldLock="1"/>
      </w:r>
      <w:r w:rsidR="004E5A25" w:rsidRPr="00D01A5E">
        <w:rPr>
          <w:rFonts w:ascii="Garamond" w:hAnsi="Garamond"/>
        </w:rPr>
        <w:instrText>ADDIN CSL_CITATION {"citationItems":[{"id":"ITEM-1","itemData":{"author":[{"dropping-particle":"","family":"Saumantri","given":"Theguh","non-dropping-particle":"","parse-names":false,"suffix":""}],"id":"ITEM-1","issued":{"date-parts":[["2022"]]},"publisher":"CV. Brimedia Global","publisher-place":"Bengkulu","title":"Filsafat Ilmu (Sebuah Dialektika Ilmu Pengetahuan)","type":"book"},"uris":["http://www.mendeley.com/documents/?uuid=cbfd342e-c7d2-44f3-a9b9-ccd8b67be836"]}],"mendeley":{"formattedCitation":"Saumantri, &lt;i&gt;Filsafat Ilmu (Sebuah Dialektika Ilmu Pengetahuan)&lt;/i&gt;.","plainTextFormattedCitation":"Saumantri, Filsafat Ilmu (Sebuah Dialektika Ilmu Pengetahuan).","previouslyFormattedCitation":"Saumantri, &lt;i&gt;Filsafat Ilmu (Sebuah Dialektika Ilmu Pengetahuan)&lt;/i&gt;."},"properties":{"noteIndex":32},"schema":"https://github.com/citation-style-language/schema/raw/master/csl-citation.json"}</w:instrText>
      </w:r>
      <w:r w:rsidR="00071F8A" w:rsidRPr="00D01A5E">
        <w:rPr>
          <w:rFonts w:ascii="Garamond" w:hAnsi="Garamond"/>
        </w:rPr>
        <w:fldChar w:fldCharType="separate"/>
      </w:r>
      <w:r w:rsidRPr="00D01A5E">
        <w:rPr>
          <w:rFonts w:ascii="Garamond" w:hAnsi="Garamond"/>
          <w:noProof/>
        </w:rPr>
        <w:t xml:space="preserve">Saumantri, </w:t>
      </w:r>
      <w:r w:rsidRPr="00D01A5E">
        <w:rPr>
          <w:rFonts w:ascii="Garamond" w:hAnsi="Garamond"/>
          <w:i/>
          <w:noProof/>
        </w:rPr>
        <w:t>Filsafat Ilmu (Sebuah Dialektika Ilmu Pengetahuan)</w:t>
      </w:r>
      <w:r w:rsidRPr="00D01A5E">
        <w:rPr>
          <w:rFonts w:ascii="Garamond" w:hAnsi="Garamond"/>
          <w:noProof/>
        </w:rPr>
        <w:t>.</w:t>
      </w:r>
      <w:r w:rsidR="00071F8A" w:rsidRPr="00D01A5E">
        <w:rPr>
          <w:rFonts w:ascii="Garamond" w:hAnsi="Garamond"/>
        </w:rPr>
        <w:fldChar w:fldCharType="end"/>
      </w:r>
    </w:p>
  </w:footnote>
  <w:footnote w:id="34">
    <w:p w:rsidR="004E5A25" w:rsidRPr="00D01A5E" w:rsidRDefault="004E5A25" w:rsidP="00D01A5E">
      <w:pPr>
        <w:pStyle w:val="FootnoteText"/>
        <w:ind w:firstLine="851"/>
        <w:jc w:val="both"/>
        <w:rPr>
          <w:rFonts w:ascii="Garamond" w:hAnsi="Garamond"/>
          <w:lang w:val="en-US"/>
        </w:rPr>
      </w:pPr>
      <w:r w:rsidRPr="00D01A5E">
        <w:rPr>
          <w:rStyle w:val="FootnoteReference"/>
          <w:rFonts w:ascii="Garamond" w:hAnsi="Garamond"/>
        </w:rPr>
        <w:footnoteRef/>
      </w:r>
      <w:r w:rsidRPr="00D01A5E">
        <w:rPr>
          <w:rFonts w:ascii="Garamond" w:hAnsi="Garamond"/>
        </w:rPr>
        <w:t xml:space="preserve"> </w:t>
      </w:r>
      <w:r w:rsidR="00071F8A" w:rsidRPr="00D01A5E">
        <w:rPr>
          <w:rFonts w:ascii="Garamond" w:hAnsi="Garamond"/>
        </w:rPr>
        <w:fldChar w:fldCharType="begin" w:fldLock="1"/>
      </w:r>
      <w:r w:rsidRPr="00D01A5E">
        <w:rPr>
          <w:rFonts w:ascii="Garamond" w:hAnsi="Garamond"/>
        </w:rPr>
        <w:instrText>ADDIN CSL_CITATION {"citationItems":[{"id":"ITEM-1","itemData":{"DOI":"10.30648/dun.v8i1.1056","ISSN":"2541-3945","abstract":"Abstract. Metaphysical theology that emphasizes the ability to reach “the truth,” or what is called logocentrism, about God has succeeded in giving rise to violent deviations from religious patterns. Deviations due to this metaphysical theology also lead to a crisis within the body of the philosophy of divinity. By drawing from Jacques Derrida's thoughts on deconstruction, this paper aims to show an attempt to delay logocentrism in metaphysical theology. Deconstruction uncovers the existence of différance which suspends the dependence of theology on logos through metaphor. Metaphors do not come from the mind (logos), but imagination (terra incognita). The talk about Godhead (Theos) through metaphor postpones logocentrism which believes that metaphysics and theology are a unity that can never be separated.Abstrak. Teologi metafisik yang menekankan kemampuan untuk menggapai “kebenaran utuh,” atau yang disebut logosentrisme, tentang Allah telah berhasil melahirkan penyimpangan pola beragama yang penuh kekerasan. Penyimpangan akibat teologi metafisik ini juga berujung pada krisis di dalam tubuh filsafat ketuhanan. Dengan menimba dari pemikiran Jacques Derrida tentang dekonstruksi, tulisan ini hendak memperlihatkan sebuah upaya menunda logosentrisme dalam teologi metafisik. Dekonstruksi membuka selubung keberadaan différance yang menunda ketergantungan teologi terhadap logos melalui metafor. Metafor tidak datang dari pikiran (logos), melainkan imajinasi (terra incognita). Pembicaraan tentang Allah (Theos) melalui metafor menunda logosentrisme yang meyakini bahwa metafisika dan teologi adalah satu kesatuan yang tidak pernah terpisahkan.","author":[{"dropping-particle":"","family":"Tamawiwy","given":"August Corneles","non-dropping-particle":"","parse-names":false,"suffix":""}],"container-title":"DUNAMIS: Jurnal Teologi dan Pendidikan Kristiani","id":"ITEM-1","issue":"1","issued":{"date-parts":[["2023","10","23"]]},"page":"378-398","title":"Dekonstruksi Teologi Metafisik: Menunda Logosentrisme dalam Teologi","type":"article-journal","volume":"8"},"uris":["http://www.mendeley.com/documents/?uuid=182c98fa-00d6-4551-b893-8ed16fe95a8b"]}],"mendeley":{"formattedCitation":"August Corneles Tamawiwy, “Dekonstruksi Teologi Metafisik: Menunda Logosentrisme Dalam Teologi,” &lt;i&gt;DUNAMIS: Jurnal Teologi Dan Pendidikan Kristiani&lt;/i&gt; 8, no. 1 (October 23, 2023): 378–98, https://doi.org/10.30648/dun.v8i1.1056.","plainTextFormattedCitation":"August Corneles Tamawiwy, “Dekonstruksi Teologi Metafisik: Menunda Logosentrisme Dalam Teologi,” DUNAMIS: Jurnal Teologi Dan Pendidikan Kristiani 8, no. 1 (October 23, 2023): 378–98, https://doi.org/10.30648/dun.v8i1.1056.","previouslyFormattedCitation":"August Corneles Tamawiwy, “Dekonstruksi Teologi Metafisik: Menunda Logosentrisme Dalam Teologi,” &lt;i&gt;DUNAMIS: Jurnal Teologi Dan Pendidikan Kristiani&lt;/i&gt; 8, no. 1 (October 23, 2023): 378–98, https://doi.org/10.30648/dun.v8i1.1056."},"properties":{"noteIndex":33},"schema":"https://github.com/citation-style-language/schema/raw/master/csl-citation.json"}</w:instrText>
      </w:r>
      <w:r w:rsidR="00071F8A" w:rsidRPr="00D01A5E">
        <w:rPr>
          <w:rFonts w:ascii="Garamond" w:hAnsi="Garamond"/>
        </w:rPr>
        <w:fldChar w:fldCharType="separate"/>
      </w:r>
      <w:r w:rsidRPr="00D01A5E">
        <w:rPr>
          <w:rFonts w:ascii="Garamond" w:hAnsi="Garamond"/>
          <w:noProof/>
        </w:rPr>
        <w:t xml:space="preserve">August Corneles Tamawiwy, “Dekonstruksi Teologi Metafisik: Menunda Logosentrisme Dalam Teologi,” </w:t>
      </w:r>
      <w:r w:rsidRPr="00D01A5E">
        <w:rPr>
          <w:rFonts w:ascii="Garamond" w:hAnsi="Garamond"/>
          <w:i/>
          <w:noProof/>
        </w:rPr>
        <w:t>DUNAMIS: Jurnal Teologi Dan Pendidikan Kristiani</w:t>
      </w:r>
      <w:r w:rsidRPr="00D01A5E">
        <w:rPr>
          <w:rFonts w:ascii="Garamond" w:hAnsi="Garamond"/>
          <w:noProof/>
        </w:rPr>
        <w:t xml:space="preserve"> 8, no. 1 (October 23, 2023): 378–98, https://doi.org/10.30648/dun.v8i1.1056.</w:t>
      </w:r>
      <w:r w:rsidR="00071F8A" w:rsidRPr="00D01A5E">
        <w:rPr>
          <w:rFonts w:ascii="Garamond" w:hAnsi="Garamond"/>
        </w:rPr>
        <w:fldChar w:fldCharType="end"/>
      </w:r>
    </w:p>
  </w:footnote>
  <w:footnote w:id="35">
    <w:p w:rsidR="004E5A25" w:rsidRPr="00D01A5E" w:rsidRDefault="004E5A25" w:rsidP="00D01A5E">
      <w:pPr>
        <w:pStyle w:val="FootnoteText"/>
        <w:ind w:firstLine="851"/>
        <w:jc w:val="both"/>
        <w:rPr>
          <w:rFonts w:ascii="Garamond" w:hAnsi="Garamond"/>
          <w:lang w:val="en-US"/>
        </w:rPr>
      </w:pPr>
      <w:r w:rsidRPr="00D01A5E">
        <w:rPr>
          <w:rStyle w:val="FootnoteReference"/>
          <w:rFonts w:ascii="Garamond" w:hAnsi="Garamond"/>
        </w:rPr>
        <w:footnoteRef/>
      </w:r>
      <w:r w:rsidRPr="00D01A5E">
        <w:rPr>
          <w:rFonts w:ascii="Garamond" w:hAnsi="Garamond"/>
        </w:rPr>
        <w:t xml:space="preserve"> </w:t>
      </w:r>
      <w:r w:rsidR="00071F8A" w:rsidRPr="00D01A5E">
        <w:rPr>
          <w:rFonts w:ascii="Garamond" w:hAnsi="Garamond"/>
        </w:rPr>
        <w:fldChar w:fldCharType="begin" w:fldLock="1"/>
      </w:r>
      <w:r w:rsidRPr="00D01A5E">
        <w:rPr>
          <w:rFonts w:ascii="Garamond" w:hAnsi="Garamond"/>
        </w:rPr>
        <w:instrText>ADDIN CSL_CITATION {"citationItems":[{"id":"ITEM-1","itemData":{"DOI":"10.2307/2182211","ISSN":"00318108","author":[{"dropping-particle":"","family":"Feyerabend","given":"Paul","non-dropping-particle":"","parse-names":false,"suffix":""}],"container-title":"The Philosophical Review","id":"ITEM-1","issue":"3","issued":{"date-parts":[["1995","7"]]},"page":"449","title":"Wittgenstein's Philosophical Investigations","type":"article-journal","volume":"64"},"uris":["http://www.mendeley.com/documents/?uuid=7934e53d-5375-41d6-92a8-00fe6b8857a1"]}],"mendeley":{"formattedCitation":"Paul Feyerabend, “Wittgenstein’s Philosophical Investigations,” &lt;i&gt;The Philosophical Review&lt;/i&gt; 64, no. 3 (July 1995): 449, https://doi.org/10.2307/2182211.","plainTextFormattedCitation":"Paul Feyerabend, “Wittgenstein’s Philosophical Investigations,” The Philosophical Review 64, no. 3 (July 1995): 449, https://doi.org/10.2307/2182211.","previouslyFormattedCitation":"Paul Feyerabend, “Wittgenstein’s Philosophical Investigations,” &lt;i&gt;The Philosophical Review&lt;/i&gt; 64, no. 3 (July 1995): 449, https://doi.org/10.2307/2182211."},"properties":{"noteIndex":34},"schema":"https://github.com/citation-style-language/schema/raw/master/csl-citation.json"}</w:instrText>
      </w:r>
      <w:r w:rsidR="00071F8A" w:rsidRPr="00D01A5E">
        <w:rPr>
          <w:rFonts w:ascii="Garamond" w:hAnsi="Garamond"/>
        </w:rPr>
        <w:fldChar w:fldCharType="separate"/>
      </w:r>
      <w:r w:rsidRPr="00D01A5E">
        <w:rPr>
          <w:rFonts w:ascii="Garamond" w:hAnsi="Garamond"/>
          <w:noProof/>
        </w:rPr>
        <w:t xml:space="preserve">Paul Feyerabend, “Wittgenstein’s Philosophical Investigations,” </w:t>
      </w:r>
      <w:r w:rsidRPr="00D01A5E">
        <w:rPr>
          <w:rFonts w:ascii="Garamond" w:hAnsi="Garamond"/>
          <w:i/>
          <w:noProof/>
        </w:rPr>
        <w:t>The Philosophical Review</w:t>
      </w:r>
      <w:r w:rsidRPr="00D01A5E">
        <w:rPr>
          <w:rFonts w:ascii="Garamond" w:hAnsi="Garamond"/>
          <w:noProof/>
        </w:rPr>
        <w:t xml:space="preserve"> 64, no. 3 (July 1995): 449, https://doi.org/10.2307/2182211.</w:t>
      </w:r>
      <w:r w:rsidR="00071F8A" w:rsidRPr="00D01A5E">
        <w:rPr>
          <w:rFonts w:ascii="Garamond" w:hAnsi="Garamond"/>
        </w:rPr>
        <w:fldChar w:fldCharType="end"/>
      </w:r>
    </w:p>
  </w:footnote>
  <w:footnote w:id="36">
    <w:p w:rsidR="004E5A25" w:rsidRPr="00D01A5E" w:rsidRDefault="004E5A25" w:rsidP="00D01A5E">
      <w:pPr>
        <w:pStyle w:val="FootnoteText"/>
        <w:ind w:firstLine="851"/>
        <w:jc w:val="both"/>
        <w:rPr>
          <w:rFonts w:ascii="Garamond" w:hAnsi="Garamond"/>
          <w:lang w:val="en-US"/>
        </w:rPr>
      </w:pPr>
      <w:r w:rsidRPr="00D01A5E">
        <w:rPr>
          <w:rStyle w:val="FootnoteReference"/>
          <w:rFonts w:ascii="Garamond" w:hAnsi="Garamond"/>
        </w:rPr>
        <w:footnoteRef/>
      </w:r>
      <w:r w:rsidRPr="00D01A5E">
        <w:rPr>
          <w:rFonts w:ascii="Garamond" w:hAnsi="Garamond"/>
        </w:rPr>
        <w:t xml:space="preserve"> </w:t>
      </w:r>
      <w:r w:rsidR="00071F8A" w:rsidRPr="00D01A5E">
        <w:rPr>
          <w:rFonts w:ascii="Garamond" w:hAnsi="Garamond"/>
        </w:rPr>
        <w:fldChar w:fldCharType="begin" w:fldLock="1"/>
      </w:r>
      <w:r w:rsidRPr="00D01A5E">
        <w:rPr>
          <w:rFonts w:ascii="Garamond" w:hAnsi="Garamond"/>
        </w:rPr>
        <w:instrText>ADDIN CSL_CITATION {"citationItems":[{"id":"ITEM-1","itemData":{"author":[{"dropping-particle":"","family":"Al-Fayyadl","given":"Muhammad","non-dropping-particle":"","parse-names":false,"suffix":""}],"id":"ITEM-1","issued":{"date-parts":[["2005"]]},"publisher":"LKiS","publisher-place":"Yogyakarta","title":"Derrida","type":"book"},"uris":["http://www.mendeley.com/documents/?uuid=1591a734-0775-4a4f-916d-fb1ee8af5746"]}],"mendeley":{"formattedCitation":"Muhammad Al-Fayyadl, &lt;i&gt;Derrida&lt;/i&gt; (Yogyakarta: LKiS, 2005).","plainTextFormattedCitation":"Muhammad Al-Fayyadl, Derrida (Yogyakarta: LKiS, 2005).","previouslyFormattedCitation":"Muhammad Al-Fayyadl, &lt;i&gt;Derrida&lt;/i&gt; (Yogyakarta: LKiS, 2005)."},"properties":{"noteIndex":35},"schema":"https://github.com/citation-style-language/schema/raw/master/csl-citation.json"}</w:instrText>
      </w:r>
      <w:r w:rsidR="00071F8A" w:rsidRPr="00D01A5E">
        <w:rPr>
          <w:rFonts w:ascii="Garamond" w:hAnsi="Garamond"/>
        </w:rPr>
        <w:fldChar w:fldCharType="separate"/>
      </w:r>
      <w:r w:rsidRPr="00D01A5E">
        <w:rPr>
          <w:rFonts w:ascii="Garamond" w:hAnsi="Garamond"/>
          <w:noProof/>
        </w:rPr>
        <w:t xml:space="preserve">Muhammad Al-Fayyadl, </w:t>
      </w:r>
      <w:r w:rsidRPr="00D01A5E">
        <w:rPr>
          <w:rFonts w:ascii="Garamond" w:hAnsi="Garamond"/>
          <w:i/>
          <w:noProof/>
        </w:rPr>
        <w:t>Derrida</w:t>
      </w:r>
      <w:r w:rsidRPr="00D01A5E">
        <w:rPr>
          <w:rFonts w:ascii="Garamond" w:hAnsi="Garamond"/>
          <w:noProof/>
        </w:rPr>
        <w:t xml:space="preserve"> (Yogyakarta: LKiS, 2005).</w:t>
      </w:r>
      <w:r w:rsidR="00071F8A" w:rsidRPr="00D01A5E">
        <w:rPr>
          <w:rFonts w:ascii="Garamond" w:hAnsi="Garamond"/>
        </w:rPr>
        <w:fldChar w:fldCharType="end"/>
      </w:r>
    </w:p>
  </w:footnote>
  <w:footnote w:id="37">
    <w:p w:rsidR="004E5A25" w:rsidRPr="00D01A5E" w:rsidRDefault="004E5A25" w:rsidP="00D01A5E">
      <w:pPr>
        <w:pStyle w:val="FootnoteText"/>
        <w:ind w:firstLine="851"/>
        <w:jc w:val="both"/>
        <w:rPr>
          <w:rFonts w:ascii="Garamond" w:hAnsi="Garamond"/>
          <w:lang w:val="en-US"/>
        </w:rPr>
      </w:pPr>
      <w:r w:rsidRPr="00D01A5E">
        <w:rPr>
          <w:rStyle w:val="FootnoteReference"/>
          <w:rFonts w:ascii="Garamond" w:hAnsi="Garamond"/>
        </w:rPr>
        <w:footnoteRef/>
      </w:r>
      <w:r w:rsidRPr="00D01A5E">
        <w:rPr>
          <w:rFonts w:ascii="Garamond" w:hAnsi="Garamond"/>
        </w:rPr>
        <w:t xml:space="preserve"> </w:t>
      </w:r>
      <w:r w:rsidR="00071F8A" w:rsidRPr="00D01A5E">
        <w:rPr>
          <w:rFonts w:ascii="Garamond" w:hAnsi="Garamond"/>
        </w:rPr>
        <w:fldChar w:fldCharType="begin" w:fldLock="1"/>
      </w:r>
      <w:r w:rsidRPr="00D01A5E">
        <w:rPr>
          <w:rFonts w:ascii="Garamond" w:hAnsi="Garamond"/>
        </w:rPr>
        <w:instrText>ADDIN CSL_CITATION {"citationItems":[{"id":"ITEM-1","itemData":{"DOI":"https://doi.org/10.31102/alulum.1.1.2014.73-78","author":[{"dropping-particle":"","family":"Haryono","given":"Dedi","non-dropping-particle":"","parse-names":false,"suffix":""}],"container-title":"Jurnal al- Ulum: Jurnal Pemikiran dan Penelitian ke-Islaman","id":"ITEM-1","issue":"1","issued":{"date-parts":[["2014"]]},"page":"73-78","title":"Gagasan Uji Teori Empiris Melalui Falsifikasi (Analisis Pemikiran Karl Popper dalam Filsafat Ilmu)","type":"article-journal","volume":"1"},"uris":["http://www.mendeley.com/documents/?uuid=97342ae8-82ae-4f44-8d02-b00a7f57860e"]}],"mendeley":{"formattedCitation":"Dedi Haryono, “Gagasan Uji Teori Empiris Melalui Falsifikasi (Analisis Pemikiran Karl Popper Dalam Filsafat Ilmu),” &lt;i&gt;Jurnal Al- Ulum: Jurnal Pemikiran Dan Penelitian Ke-Islaman&lt;/i&gt; 1, no. 1 (2014): 73–78, https://doi.org/https://doi.org/10.31102/alulum.1.1.2014.73-78.","plainTextFormattedCitation":"Dedi Haryono, “Gagasan Uji Teori Empiris Melalui Falsifikasi (Analisis Pemikiran Karl Popper Dalam Filsafat Ilmu),” Jurnal Al- Ulum: Jurnal Pemikiran Dan Penelitian Ke-Islaman 1, no. 1 (2014): 73–78, https://doi.org/https://doi.org/10.31102/alulum.1.1.2014.73-78.","previouslyFormattedCitation":"Dedi Haryono, “Gagasan Uji Teori Empiris Melalui Falsifikasi (Analisis Pemikiran Karl Popper Dalam Filsafat Ilmu),” &lt;i&gt;Jurnal Al- Ulum: Jurnal Pemikiran Dan Penelitian Ke-Islaman&lt;/i&gt; 1, no. 1 (2014): 73–78, https://doi.org/https://doi.org/10.31102/alulum.1.1.2014.73-78."},"properties":{"noteIndex":36},"schema":"https://github.com/citation-style-language/schema/raw/master/csl-citation.json"}</w:instrText>
      </w:r>
      <w:r w:rsidR="00071F8A" w:rsidRPr="00D01A5E">
        <w:rPr>
          <w:rFonts w:ascii="Garamond" w:hAnsi="Garamond"/>
        </w:rPr>
        <w:fldChar w:fldCharType="separate"/>
      </w:r>
      <w:r w:rsidRPr="00D01A5E">
        <w:rPr>
          <w:rFonts w:ascii="Garamond" w:hAnsi="Garamond"/>
          <w:noProof/>
        </w:rPr>
        <w:t xml:space="preserve">Dedi Haryono, “Gagasan Uji Teori Empiris Melalui Falsifikasi (Analisis Pemikiran Karl Popper Dalam Filsafat Ilmu),” </w:t>
      </w:r>
      <w:r w:rsidRPr="00D01A5E">
        <w:rPr>
          <w:rFonts w:ascii="Garamond" w:hAnsi="Garamond"/>
          <w:i/>
          <w:noProof/>
        </w:rPr>
        <w:t>Jurnal Al- Ulum: Jurnal Pemikiran Dan Penelitian Ke-Islaman</w:t>
      </w:r>
      <w:r w:rsidRPr="00D01A5E">
        <w:rPr>
          <w:rFonts w:ascii="Garamond" w:hAnsi="Garamond"/>
          <w:noProof/>
        </w:rPr>
        <w:t xml:space="preserve"> 1, no. 1 (2014): 73–78, https://doi.org/https://doi.org/10.31102/alulum.1.1.2014.73-78.</w:t>
      </w:r>
      <w:r w:rsidR="00071F8A" w:rsidRPr="00D01A5E">
        <w:rPr>
          <w:rFonts w:ascii="Garamond" w:hAnsi="Garamond"/>
        </w:rPr>
        <w:fldChar w:fldCharType="end"/>
      </w:r>
    </w:p>
  </w:footnote>
  <w:footnote w:id="38">
    <w:p w:rsidR="004E5A25" w:rsidRPr="00D01A5E" w:rsidRDefault="004E5A25" w:rsidP="00D01A5E">
      <w:pPr>
        <w:pStyle w:val="FootnoteText"/>
        <w:ind w:firstLine="851"/>
        <w:jc w:val="both"/>
        <w:rPr>
          <w:rFonts w:ascii="Garamond" w:hAnsi="Garamond"/>
          <w:lang w:val="en-US"/>
        </w:rPr>
      </w:pPr>
      <w:r w:rsidRPr="00D01A5E">
        <w:rPr>
          <w:rStyle w:val="FootnoteReference"/>
          <w:rFonts w:ascii="Garamond" w:hAnsi="Garamond"/>
        </w:rPr>
        <w:footnoteRef/>
      </w:r>
      <w:r w:rsidRPr="00D01A5E">
        <w:rPr>
          <w:rFonts w:ascii="Garamond" w:hAnsi="Garamond"/>
        </w:rPr>
        <w:t xml:space="preserve"> </w:t>
      </w:r>
      <w:r w:rsidR="00071F8A" w:rsidRPr="00D01A5E">
        <w:rPr>
          <w:rFonts w:ascii="Garamond" w:hAnsi="Garamond"/>
        </w:rPr>
        <w:fldChar w:fldCharType="begin" w:fldLock="1"/>
      </w:r>
      <w:r w:rsidRPr="00D01A5E">
        <w:rPr>
          <w:rFonts w:ascii="Garamond" w:hAnsi="Garamond"/>
        </w:rPr>
        <w:instrText>ADDIN CSL_CITATION {"citationItems":[{"id":"ITEM-1","itemData":{"DOI":"https://doi.org/10.14421/inright.v2i1.1230","abstract":"Metode pembenaran (verifikasi) jamak digunakan dalam menemukan dan mempertahankan suatu kebenaran. Hal ini berimbas pada upaya-upaya truth claim. Padahal terdapat metode lain sebagaimana yang ditawarkan Popper dengan falsifikasinya. Tulisan ini menginagurasi kembali tawaran Popper yang diharapkan dapat menjadi alternasi ditengah kelaziman metodologi keilmuan dewasa ini.","author":[{"dropping-particle":"","family":"Nur","given":"M.","non-dropping-particle":"","parse-names":false,"suffix":""}],"container-title":"Jurnal Agama dan Hak Azazi Manusia In Right","id":"ITEM-1","issue":"1","issued":{"date-parts":[["2012"]]},"page":"1-14","title":"Revivalisasi Epistemologi Falsifikasi","type":"article-journal","volume":"2"},"uris":["http://www.mendeley.com/documents/?uuid=01e9eeae-b147-4ad5-a301-8246bc3547dc"]}],"mendeley":{"formattedCitation":"M. Nur, “Revivalisasi Epistemologi Falsifikasi,” &lt;i&gt;Jurnal Agama Dan Hak Azazi Manusia In Right&lt;/i&gt; 2, no. 1 (2012): 1–14, https://doi.org/https://doi.org/10.14421/inright.v2i1.1230.","plainTextFormattedCitation":"M. Nur, “Revivalisasi Epistemologi Falsifikasi,” Jurnal Agama Dan Hak Azazi Manusia In Right 2, no. 1 (2012): 1–14, https://doi.org/https://doi.org/10.14421/inright.v2i1.1230.","previouslyFormattedCitation":"M. Nur, “Revivalisasi Epistemologi Falsifikasi,” &lt;i&gt;Jurnal Agama Dan Hak Azazi Manusia In Right&lt;/i&gt; 2, no. 1 (2012): 1–14, https://doi.org/https://doi.org/10.14421/inright.v2i1.1230."},"properties":{"noteIndex":37},"schema":"https://github.com/citation-style-language/schema/raw/master/csl-citation.json"}</w:instrText>
      </w:r>
      <w:r w:rsidR="00071F8A" w:rsidRPr="00D01A5E">
        <w:rPr>
          <w:rFonts w:ascii="Garamond" w:hAnsi="Garamond"/>
        </w:rPr>
        <w:fldChar w:fldCharType="separate"/>
      </w:r>
      <w:r w:rsidRPr="00D01A5E">
        <w:rPr>
          <w:rFonts w:ascii="Garamond" w:hAnsi="Garamond"/>
          <w:noProof/>
        </w:rPr>
        <w:t xml:space="preserve">M. Nur, “Revivalisasi Epistemologi Falsifikasi,” </w:t>
      </w:r>
      <w:r w:rsidRPr="00D01A5E">
        <w:rPr>
          <w:rFonts w:ascii="Garamond" w:hAnsi="Garamond"/>
          <w:i/>
          <w:noProof/>
        </w:rPr>
        <w:t>Jurnal Agama Dan Hak Azazi Manusia In Right</w:t>
      </w:r>
      <w:r w:rsidRPr="00D01A5E">
        <w:rPr>
          <w:rFonts w:ascii="Garamond" w:hAnsi="Garamond"/>
          <w:noProof/>
        </w:rPr>
        <w:t xml:space="preserve"> 2, no. 1 (2012): 1–14, https://doi.org/https://doi.org/10.14421/inright.v2i1.1230.</w:t>
      </w:r>
      <w:r w:rsidR="00071F8A" w:rsidRPr="00D01A5E">
        <w:rPr>
          <w:rFonts w:ascii="Garamond" w:hAnsi="Garamond"/>
        </w:rPr>
        <w:fldChar w:fldCharType="end"/>
      </w:r>
    </w:p>
  </w:footnote>
  <w:footnote w:id="39">
    <w:p w:rsidR="004E5A25" w:rsidRPr="00D01A5E" w:rsidRDefault="004E5A25" w:rsidP="00D01A5E">
      <w:pPr>
        <w:pStyle w:val="FootnoteText"/>
        <w:ind w:firstLine="851"/>
        <w:jc w:val="both"/>
        <w:rPr>
          <w:rFonts w:ascii="Garamond" w:hAnsi="Garamond"/>
          <w:lang w:val="en-US"/>
        </w:rPr>
      </w:pPr>
      <w:r w:rsidRPr="00D01A5E">
        <w:rPr>
          <w:rStyle w:val="FootnoteReference"/>
          <w:rFonts w:ascii="Garamond" w:hAnsi="Garamond"/>
        </w:rPr>
        <w:footnoteRef/>
      </w:r>
      <w:r w:rsidRPr="00D01A5E">
        <w:rPr>
          <w:rFonts w:ascii="Garamond" w:hAnsi="Garamond"/>
        </w:rPr>
        <w:t xml:space="preserve"> </w:t>
      </w:r>
      <w:r w:rsidR="00071F8A" w:rsidRPr="00D01A5E">
        <w:rPr>
          <w:rFonts w:ascii="Garamond" w:hAnsi="Garamond"/>
        </w:rPr>
        <w:fldChar w:fldCharType="begin" w:fldLock="1"/>
      </w:r>
      <w:r w:rsidR="00D73689" w:rsidRPr="00D01A5E">
        <w:rPr>
          <w:rFonts w:ascii="Garamond" w:hAnsi="Garamond"/>
        </w:rPr>
        <w:instrText>ADDIN CSL_CITATION {"citationItems":[{"id":"ITEM-1","itemData":{"DOI":"https://doi.org/10.31102/alulum.1.1.2014.73-78","author":[{"dropping-particle":"","family":"Haryono","given":"Dedi","non-dropping-particle":"","parse-names":false,"suffix":""}],"container-title":"Jurnal al- Ulum: Jurnal Pemikiran dan Penelitian ke-Islaman","id":"ITEM-1","issue":"1","issued":{"date-parts":[["2014"]]},"page":"73-78","title":"Gagasan Uji Teori Empiris Melalui Falsifikasi (Analisis Pemikiran Karl Popper dalam Filsafat Ilmu)","type":"article-journal","volume":"1"},"uris":["http://www.mendeley.com/documents/?uuid=97342ae8-82ae-4f44-8d02-b00a7f57860e"]}],"mendeley":{"formattedCitation":"Haryono, “Gagasan Uji Teori Empiris Melalui Falsifikasi (Analisis Pemikiran Karl Popper Dalam Filsafat Ilmu).”","plainTextFormattedCitation":"Haryono, “Gagasan Uji Teori Empiris Melalui Falsifikasi (Analisis Pemikiran Karl Popper Dalam Filsafat Ilmu).”","previouslyFormattedCitation":"Haryono, “Gagasan Uji Teori Empiris Melalui Falsifikasi (Analisis Pemikiran Karl Popper Dalam Filsafat Ilmu).”"},"properties":{"noteIndex":38},"schema":"https://github.com/citation-style-language/schema/raw/master/csl-citation.json"}</w:instrText>
      </w:r>
      <w:r w:rsidR="00071F8A" w:rsidRPr="00D01A5E">
        <w:rPr>
          <w:rFonts w:ascii="Garamond" w:hAnsi="Garamond"/>
        </w:rPr>
        <w:fldChar w:fldCharType="separate"/>
      </w:r>
      <w:r w:rsidRPr="00D01A5E">
        <w:rPr>
          <w:rFonts w:ascii="Garamond" w:hAnsi="Garamond"/>
          <w:noProof/>
        </w:rPr>
        <w:t>Haryono, “Gagasan Uji Teori Empiris Melalui Falsifikasi (Analisis Pemikiran Karl Popper Dalam Filsafat Ilmu).”</w:t>
      </w:r>
      <w:r w:rsidR="00071F8A" w:rsidRPr="00D01A5E">
        <w:rPr>
          <w:rFonts w:ascii="Garamond" w:hAnsi="Garamond"/>
        </w:rPr>
        <w:fldChar w:fldCharType="end"/>
      </w:r>
    </w:p>
  </w:footnote>
  <w:footnote w:id="40">
    <w:p w:rsidR="00D73689" w:rsidRPr="00D01A5E" w:rsidRDefault="00D73689" w:rsidP="00D01A5E">
      <w:pPr>
        <w:pStyle w:val="FootnoteText"/>
        <w:ind w:firstLine="851"/>
        <w:jc w:val="both"/>
        <w:rPr>
          <w:rFonts w:ascii="Garamond" w:hAnsi="Garamond"/>
          <w:lang w:val="en-US"/>
        </w:rPr>
      </w:pPr>
      <w:r w:rsidRPr="00D01A5E">
        <w:rPr>
          <w:rStyle w:val="FootnoteReference"/>
          <w:rFonts w:ascii="Garamond" w:hAnsi="Garamond"/>
        </w:rPr>
        <w:footnoteRef/>
      </w:r>
      <w:r w:rsidRPr="00D01A5E">
        <w:rPr>
          <w:rFonts w:ascii="Garamond" w:hAnsi="Garamond"/>
        </w:rPr>
        <w:t xml:space="preserve"> </w:t>
      </w:r>
      <w:r w:rsidR="00071F8A" w:rsidRPr="00D01A5E">
        <w:rPr>
          <w:rFonts w:ascii="Garamond" w:hAnsi="Garamond"/>
        </w:rPr>
        <w:fldChar w:fldCharType="begin" w:fldLock="1"/>
      </w:r>
      <w:r w:rsidRPr="00D01A5E">
        <w:rPr>
          <w:rFonts w:ascii="Garamond" w:hAnsi="Garamond"/>
        </w:rPr>
        <w:instrText>ADDIN CSL_CITATION {"citationItems":[{"id":"ITEM-1","itemData":{"DOI":"10.23887/jfi.v4i3.36536","ISSN":"2620-7982","abstract":"A problem that is often debated by both the western and eastern world is the problem of determining the truth of a scientific field or theory. In western science, a thought emerged from a philosopher, namely the theory of falsification put forward by Karl Raymond Popper. In his theory Popper argues that the truth of a science is not determined through justification (verification), but through refuting the propositions that science itself builds (falsification). The study of Popper's falsification has been very widely published and discussed in various writings, especially in Islamic studies and science (science). In this article, the author tries to briefly describe the urgency of Karl R. Popper's thought in the academic field. The method used in writing this article is library research (literature review), using relevant documents, journals, and research. Through this research, it is known that the application of Karl Raimund Popeer's theory of falsification is very important in the academic field. This is evidenced by the concept of falsification which is used to determine the scientific knowledge. In addition, the concept of falsification was used long before Popper introduced the theory. One of them is used by the Muslim philosopher Imam Al-Gazali in defending and proving his arguments and thoughts. In the development of scientific methods, the principle of falsification plays an important role in strengthening scientific theory because it serves as evidence to disqualify other irrelevant theories.","author":[{"dropping-particle":"","family":"Riski","given":"Maydi Aula","non-dropping-particle":"","parse-names":false,"suffix":""}],"container-title":"Jurnal Filsafat Indonesia","id":"ITEM-1","issue":"3","issued":{"date-parts":[["2021","11","1"]]},"page":"261-272","title":"Falsifikasi Karl R. Popper dan Urgensinya dala Dunia Akademik","type":"article-journal","volume":"4"},"uris":["http://www.mendeley.com/documents/?uuid=33c02083-1bd2-46fc-98e4-a8fc04cb5c78"]}],"mendeley":{"formattedCitation":"Maydi Aula Riski, “Falsifikasi Karl R. Popper Dan Urgensinya Dala Dunia Akademik,” &lt;i&gt;Jurnal Filsafat Indonesia&lt;/i&gt; 4, no. 3 (November 1, 2021): 261–72, https://doi.org/10.23887/jfi.v4i3.36536.","plainTextFormattedCitation":"Maydi Aula Riski, “Falsifikasi Karl R. Popper Dan Urgensinya Dala Dunia Akademik,” Jurnal Filsafat Indonesia 4, no. 3 (November 1, 2021): 261–72, https://doi.org/10.23887/jfi.v4i3.36536.","previouslyFormattedCitation":"Maydi Aula Riski, “Falsifikasi Karl R. Popper Dan Urgensinya Dala Dunia Akademik,” &lt;i&gt;Jurnal Filsafat Indonesia&lt;/i&gt; 4, no. 3 (November 1, 2021): 261–72, https://doi.org/10.23887/jfi.v4i3.36536."},"properties":{"noteIndex":39},"schema":"https://github.com/citation-style-language/schema/raw/master/csl-citation.json"}</w:instrText>
      </w:r>
      <w:r w:rsidR="00071F8A" w:rsidRPr="00D01A5E">
        <w:rPr>
          <w:rFonts w:ascii="Garamond" w:hAnsi="Garamond"/>
        </w:rPr>
        <w:fldChar w:fldCharType="separate"/>
      </w:r>
      <w:r w:rsidRPr="00D01A5E">
        <w:rPr>
          <w:rFonts w:ascii="Garamond" w:hAnsi="Garamond"/>
          <w:noProof/>
        </w:rPr>
        <w:t xml:space="preserve">Maydi Aula Riski, “Falsifikasi Karl R. Popper Dan Urgensinya Dala Dunia Akademik,” </w:t>
      </w:r>
      <w:r w:rsidRPr="00D01A5E">
        <w:rPr>
          <w:rFonts w:ascii="Garamond" w:hAnsi="Garamond"/>
          <w:i/>
          <w:noProof/>
        </w:rPr>
        <w:t>Jurnal Filsafat Indonesia</w:t>
      </w:r>
      <w:r w:rsidRPr="00D01A5E">
        <w:rPr>
          <w:rFonts w:ascii="Garamond" w:hAnsi="Garamond"/>
          <w:noProof/>
        </w:rPr>
        <w:t xml:space="preserve"> 4, no. 3 (November 1, 2021): 261–72, https://doi.org/10.23887/jfi.v4i3.36536.</w:t>
      </w:r>
      <w:r w:rsidR="00071F8A" w:rsidRPr="00D01A5E">
        <w:rPr>
          <w:rFonts w:ascii="Garamond" w:hAnsi="Garamond"/>
        </w:rPr>
        <w:fldChar w:fldCharType="end"/>
      </w:r>
    </w:p>
  </w:footnote>
  <w:footnote w:id="41">
    <w:p w:rsidR="00D73689" w:rsidRPr="00D01A5E" w:rsidRDefault="00D73689" w:rsidP="00D01A5E">
      <w:pPr>
        <w:pStyle w:val="FootnoteText"/>
        <w:ind w:firstLine="851"/>
        <w:jc w:val="both"/>
        <w:rPr>
          <w:rFonts w:ascii="Garamond" w:hAnsi="Garamond"/>
          <w:lang w:val="en-US"/>
        </w:rPr>
      </w:pPr>
      <w:r w:rsidRPr="00D01A5E">
        <w:rPr>
          <w:rStyle w:val="FootnoteReference"/>
          <w:rFonts w:ascii="Garamond" w:hAnsi="Garamond"/>
        </w:rPr>
        <w:footnoteRef/>
      </w:r>
      <w:r w:rsidRPr="00D01A5E">
        <w:rPr>
          <w:rFonts w:ascii="Garamond" w:hAnsi="Garamond"/>
        </w:rPr>
        <w:t xml:space="preserve"> </w:t>
      </w:r>
      <w:r w:rsidR="00071F8A" w:rsidRPr="00D01A5E">
        <w:rPr>
          <w:rFonts w:ascii="Garamond" w:hAnsi="Garamond"/>
        </w:rPr>
        <w:fldChar w:fldCharType="begin" w:fldLock="1"/>
      </w:r>
      <w:r w:rsidRPr="00D01A5E">
        <w:rPr>
          <w:rFonts w:ascii="Garamond" w:hAnsi="Garamond"/>
        </w:rPr>
        <w:instrText>ADDIN CSL_CITATION {"citationItems":[{"id":"ITEM-1","itemData":{"DOI":"10.26877/civis.v12i2.16406","ISSN":"2597-4408","author":[{"dropping-particle":"","family":"Purwosasaputro","given":"Supriyono","non-dropping-particle":"","parse-names":false,"suffix":""}],"container-title":"Civis : Jurnal Ilmiah Ilmu Sosial dan Pendidikan","id":"ITEM-1","issue":"2","issued":{"date-parts":[["2023","7","30"]]},"page":"103-115","title":"Falsifikasi Sebagai Dasar Epistemologi Karl Raymund Popper Dalam Melihat Problem Ilmu Pengetahuan","type":"article-journal","volume":"12"},"uris":["http://www.mendeley.com/documents/?uuid=a6ba45db-040d-4a3d-b65a-21d1ea083a31"]}],"mendeley":{"formattedCitation":"Supriyono Purwosasaputro, “Falsifikasi Sebagai Dasar Epistemologi Karl Raymund Popper Dalam Melihat Problem Ilmu Pengetahuan,” &lt;i&gt;Civis</w:instrText>
      </w:r>
      <w:r w:rsidRPr="00D01A5E">
        <w:rPr>
          <w:rFonts w:ascii="Times New Roman" w:hAnsi="Times New Roman" w:cs="Times New Roman"/>
        </w:rPr>
        <w:instrText> </w:instrText>
      </w:r>
      <w:r w:rsidRPr="00D01A5E">
        <w:rPr>
          <w:rFonts w:ascii="Garamond" w:hAnsi="Garamond"/>
        </w:rPr>
        <w:instrText>: Jurnal Ilmiah Ilmu Sosial Dan Pendidikan&lt;/i&gt; 12, no. 2 (July 30, 2023): 103</w:instrText>
      </w:r>
      <w:r w:rsidRPr="00D01A5E">
        <w:rPr>
          <w:rFonts w:ascii="Garamond" w:hAnsi="Garamond" w:cs="Garamond"/>
        </w:rPr>
        <w:instrText>–</w:instrText>
      </w:r>
      <w:r w:rsidRPr="00D01A5E">
        <w:rPr>
          <w:rFonts w:ascii="Garamond" w:hAnsi="Garamond"/>
        </w:rPr>
        <w:instrText xml:space="preserve">15, https://doi.org/10.26877/civis.v12i2.16406.","plainTextFormattedCitation":"Supriyono Purwosasaputro, </w:instrText>
      </w:r>
      <w:r w:rsidRPr="00D01A5E">
        <w:rPr>
          <w:rFonts w:ascii="Garamond" w:hAnsi="Garamond" w:cs="Garamond"/>
        </w:rPr>
        <w:instrText>“</w:instrText>
      </w:r>
      <w:r w:rsidRPr="00D01A5E">
        <w:rPr>
          <w:rFonts w:ascii="Garamond" w:hAnsi="Garamond"/>
        </w:rPr>
        <w:instrText>Falsifikasi Sebagai Dasar Epistemologi Karl Raymund Popper Dalam Melihat Problem Ilmu Pengetahuan,” Civis</w:instrText>
      </w:r>
      <w:r w:rsidRPr="00D01A5E">
        <w:rPr>
          <w:rFonts w:ascii="Times New Roman" w:hAnsi="Times New Roman" w:cs="Times New Roman"/>
        </w:rPr>
        <w:instrText> </w:instrText>
      </w:r>
      <w:r w:rsidRPr="00D01A5E">
        <w:rPr>
          <w:rFonts w:ascii="Garamond" w:hAnsi="Garamond"/>
        </w:rPr>
        <w:instrText>: Jurnal Ilmiah Ilmu Sosial Dan Pendidikan 12, no. 2 (July 30, 2023): 103</w:instrText>
      </w:r>
      <w:r w:rsidRPr="00D01A5E">
        <w:rPr>
          <w:rFonts w:ascii="Garamond" w:hAnsi="Garamond" w:cs="Garamond"/>
        </w:rPr>
        <w:instrText>–</w:instrText>
      </w:r>
      <w:r w:rsidRPr="00D01A5E">
        <w:rPr>
          <w:rFonts w:ascii="Garamond" w:hAnsi="Garamond"/>
        </w:rPr>
        <w:instrText xml:space="preserve">15, https://doi.org/10.26877/civis.v12i2.16406.","previouslyFormattedCitation":"Supriyono Purwosasaputro, </w:instrText>
      </w:r>
      <w:r w:rsidRPr="00D01A5E">
        <w:rPr>
          <w:rFonts w:ascii="Garamond" w:hAnsi="Garamond" w:cs="Garamond"/>
        </w:rPr>
        <w:instrText>“</w:instrText>
      </w:r>
      <w:r w:rsidRPr="00D01A5E">
        <w:rPr>
          <w:rFonts w:ascii="Garamond" w:hAnsi="Garamond"/>
        </w:rPr>
        <w:instrText>Falsifikasi Sebagai Dasar Epistemologi Karl Raymund Popper Dalam Melihat Problem Ilmu Pengetahuan,</w:instrText>
      </w:r>
      <w:r w:rsidRPr="00D01A5E">
        <w:rPr>
          <w:rFonts w:ascii="Garamond" w:hAnsi="Garamond" w:cs="Garamond"/>
        </w:rPr>
        <w:instrText>”</w:instrText>
      </w:r>
      <w:r w:rsidRPr="00D01A5E">
        <w:rPr>
          <w:rFonts w:ascii="Garamond" w:hAnsi="Garamond"/>
        </w:rPr>
        <w:instrText xml:space="preserve"> &lt;i&gt;Civis</w:instrText>
      </w:r>
      <w:r w:rsidRPr="00D01A5E">
        <w:rPr>
          <w:rFonts w:ascii="Times New Roman" w:hAnsi="Times New Roman" w:cs="Times New Roman"/>
        </w:rPr>
        <w:instrText> </w:instrText>
      </w:r>
      <w:r w:rsidRPr="00D01A5E">
        <w:rPr>
          <w:rFonts w:ascii="Garamond" w:hAnsi="Garamond"/>
        </w:rPr>
        <w:instrText>: Jurnal Ilmiah Ilmu Sosial Dan Pendidikan&lt;/i&gt; 12, no. 2 (July 30, 2023): 103</w:instrText>
      </w:r>
      <w:r w:rsidRPr="00D01A5E">
        <w:rPr>
          <w:rFonts w:ascii="Garamond" w:hAnsi="Garamond" w:cs="Garamond"/>
        </w:rPr>
        <w:instrText>–</w:instrText>
      </w:r>
      <w:r w:rsidRPr="00D01A5E">
        <w:rPr>
          <w:rFonts w:ascii="Garamond" w:hAnsi="Garamond"/>
        </w:rPr>
        <w:instrText>15, https://doi.org/10.26877/civis.v12i2.16406."},"properties":{"noteIndex":40},"schema":"https://github.com/citation-style-language/schema/raw/master/csl-citation.json"}</w:instrText>
      </w:r>
      <w:r w:rsidR="00071F8A" w:rsidRPr="00D01A5E">
        <w:rPr>
          <w:rFonts w:ascii="Garamond" w:hAnsi="Garamond"/>
        </w:rPr>
        <w:fldChar w:fldCharType="separate"/>
      </w:r>
      <w:r w:rsidRPr="00D01A5E">
        <w:rPr>
          <w:rFonts w:ascii="Garamond" w:hAnsi="Garamond"/>
          <w:noProof/>
        </w:rPr>
        <w:t xml:space="preserve">Supriyono Purwosasaputro, “Falsifikasi Sebagai Dasar Epistemologi Karl Raymund Popper Dalam Melihat Problem Ilmu Pengetahuan,” </w:t>
      </w:r>
      <w:r w:rsidRPr="00D01A5E">
        <w:rPr>
          <w:rFonts w:ascii="Garamond" w:hAnsi="Garamond"/>
          <w:i/>
          <w:noProof/>
        </w:rPr>
        <w:t>Civis</w:t>
      </w:r>
      <w:r w:rsidRPr="00D01A5E">
        <w:rPr>
          <w:rFonts w:ascii="Times New Roman" w:hAnsi="Times New Roman" w:cs="Times New Roman"/>
          <w:i/>
          <w:noProof/>
        </w:rPr>
        <w:t> </w:t>
      </w:r>
      <w:r w:rsidRPr="00D01A5E">
        <w:rPr>
          <w:rFonts w:ascii="Garamond" w:hAnsi="Garamond"/>
          <w:i/>
          <w:noProof/>
        </w:rPr>
        <w:t>: Jurnal Ilmiah Ilmu Sosial Dan Pendidikan</w:t>
      </w:r>
      <w:r w:rsidRPr="00D01A5E">
        <w:rPr>
          <w:rFonts w:ascii="Garamond" w:hAnsi="Garamond"/>
          <w:noProof/>
        </w:rPr>
        <w:t xml:space="preserve"> 12, no. 2 (July 30, 2023): 103–15, https://doi.org/10.26877/civis.v12i2.16406.</w:t>
      </w:r>
      <w:r w:rsidR="00071F8A" w:rsidRPr="00D01A5E">
        <w:rPr>
          <w:rFonts w:ascii="Garamond" w:hAnsi="Garamond"/>
        </w:rPr>
        <w:fldChar w:fldCharType="end"/>
      </w:r>
    </w:p>
  </w:footnote>
  <w:footnote w:id="42">
    <w:p w:rsidR="00D73689" w:rsidRPr="00D01A5E" w:rsidRDefault="00D73689" w:rsidP="00D01A5E">
      <w:pPr>
        <w:pStyle w:val="FootnoteText"/>
        <w:ind w:firstLine="851"/>
        <w:jc w:val="both"/>
        <w:rPr>
          <w:rFonts w:ascii="Garamond" w:hAnsi="Garamond"/>
          <w:lang w:val="en-US"/>
        </w:rPr>
      </w:pPr>
      <w:r w:rsidRPr="00D01A5E">
        <w:rPr>
          <w:rStyle w:val="FootnoteReference"/>
          <w:rFonts w:ascii="Garamond" w:hAnsi="Garamond"/>
        </w:rPr>
        <w:footnoteRef/>
      </w:r>
      <w:r w:rsidRPr="00D01A5E">
        <w:rPr>
          <w:rFonts w:ascii="Garamond" w:hAnsi="Garamond"/>
        </w:rPr>
        <w:t xml:space="preserve"> </w:t>
      </w:r>
      <w:r w:rsidR="00071F8A" w:rsidRPr="00D01A5E">
        <w:rPr>
          <w:rFonts w:ascii="Garamond" w:hAnsi="Garamond"/>
        </w:rPr>
        <w:fldChar w:fldCharType="begin" w:fldLock="1"/>
      </w:r>
      <w:r w:rsidR="001F7DC0" w:rsidRPr="00D01A5E">
        <w:rPr>
          <w:rFonts w:ascii="Garamond" w:hAnsi="Garamond"/>
        </w:rPr>
        <w:instrText>ADDIN CSL_CITATION {"citationItems":[{"id":"ITEM-1","itemData":{"DOI":"10.21111/tsaqafah.v10i1.64","ISSN":"2460-0008","author":[{"dropping-particle":"","family":"Soleh","given":"A. Khudori","non-dropping-particle":"","parse-names":false,"suffix":""}],"container-title":"TSAQAFAH","id":"ITEM-1","issue":"1","issued":{"date-parts":[["2014","5","31"]]},"page":"63","title":"Mencermati Sejarah Perkembangan Filsafat Islam","type":"article-journal","volume":"10"},"uris":["http://www.mendeley.com/documents/?uuid=01c86bb5-a867-402d-9e74-568e285fc317"]}],"mendeley":{"formattedCitation":"A. Khudori Soleh, “Mencermati Sejarah Perkembangan Filsafat Islam,” &lt;i&gt;TSAQAFAH&lt;/i&gt; 10, no. 1 (May 31, 2014): 63, https://doi.org/10.21111/tsaqafah.v10i1.64.","plainTextFormattedCitation":"A. Khudori Soleh, “Mencermati Sejarah Perkembangan Filsafat Islam,” TSAQAFAH 10, no. 1 (May 31, 2014): 63, https://doi.org/10.21111/tsaqafah.v10i1.64.","previouslyFormattedCitation":"A. Khudori Soleh, “Mencermati Sejarah Perkembangan Filsafat Islam,” &lt;i&gt;TSAQAFAH&lt;/i&gt; 10, no. 1 (May 31, 2014): 63, https://doi.org/10.21111/tsaqafah.v10i1.64."},"properties":{"noteIndex":41},"schema":"https://github.com/citation-style-language/schema/raw/master/csl-citation.json"}</w:instrText>
      </w:r>
      <w:r w:rsidR="00071F8A" w:rsidRPr="00D01A5E">
        <w:rPr>
          <w:rFonts w:ascii="Garamond" w:hAnsi="Garamond"/>
        </w:rPr>
        <w:fldChar w:fldCharType="separate"/>
      </w:r>
      <w:r w:rsidRPr="00D01A5E">
        <w:rPr>
          <w:rFonts w:ascii="Garamond" w:hAnsi="Garamond"/>
          <w:noProof/>
        </w:rPr>
        <w:t xml:space="preserve">A. Khudori Soleh, “Mencermati Sejarah Perkembangan Filsafat Islam,” </w:t>
      </w:r>
      <w:r w:rsidRPr="00D01A5E">
        <w:rPr>
          <w:rFonts w:ascii="Garamond" w:hAnsi="Garamond"/>
          <w:i/>
          <w:noProof/>
        </w:rPr>
        <w:t>TSAQAFAH</w:t>
      </w:r>
      <w:r w:rsidRPr="00D01A5E">
        <w:rPr>
          <w:rFonts w:ascii="Garamond" w:hAnsi="Garamond"/>
          <w:noProof/>
        </w:rPr>
        <w:t xml:space="preserve"> 10, no. 1 (May 31, 2014): 63, https://doi.org/10.21111/tsaqafah.v10i1.64.</w:t>
      </w:r>
      <w:r w:rsidR="00071F8A" w:rsidRPr="00D01A5E">
        <w:rPr>
          <w:rFonts w:ascii="Garamond" w:hAnsi="Garamond"/>
        </w:rPr>
        <w:fldChar w:fldCharType="end"/>
      </w:r>
    </w:p>
  </w:footnote>
  <w:footnote w:id="43">
    <w:p w:rsidR="001F7DC0" w:rsidRPr="00D01A5E" w:rsidRDefault="001F7DC0" w:rsidP="00D01A5E">
      <w:pPr>
        <w:pStyle w:val="FootnoteText"/>
        <w:ind w:firstLine="851"/>
        <w:jc w:val="both"/>
        <w:rPr>
          <w:rFonts w:ascii="Garamond" w:hAnsi="Garamond"/>
          <w:lang w:val="en-US"/>
        </w:rPr>
      </w:pPr>
      <w:r w:rsidRPr="00D01A5E">
        <w:rPr>
          <w:rStyle w:val="FootnoteReference"/>
          <w:rFonts w:ascii="Garamond" w:hAnsi="Garamond"/>
        </w:rPr>
        <w:footnoteRef/>
      </w:r>
      <w:r w:rsidRPr="00D01A5E">
        <w:rPr>
          <w:rFonts w:ascii="Garamond" w:hAnsi="Garamond"/>
        </w:rPr>
        <w:t xml:space="preserve"> </w:t>
      </w:r>
      <w:r w:rsidR="00071F8A" w:rsidRPr="00D01A5E">
        <w:rPr>
          <w:rFonts w:ascii="Garamond" w:hAnsi="Garamond"/>
        </w:rPr>
        <w:fldChar w:fldCharType="begin" w:fldLock="1"/>
      </w:r>
      <w:r w:rsidRPr="00D01A5E">
        <w:rPr>
          <w:rFonts w:ascii="Garamond" w:hAnsi="Garamond"/>
        </w:rPr>
        <w:instrText>ADDIN CSL_CITATION {"citationItems":[{"id":"ITEM-1","itemData":{"DOI":"10.23887/jfi.v7i2.76519","ISSN":"2620-7982","abstract":"Fokus utama tulisan ini adalah menggali nilai filosofis dalam ritus “teing tinu” masyarakat Manggarai dan praktik Xiao (</w:instrText>
      </w:r>
      <w:r w:rsidRPr="00D01A5E">
        <w:rPr>
          <w:rFonts w:ascii="Garamond" w:hAnsi="Garamond"/>
        </w:rPr>
        <w:instrText>孝</w:instrText>
      </w:r>
      <w:r w:rsidRPr="00D01A5E">
        <w:rPr>
          <w:rFonts w:ascii="Garamond" w:hAnsi="Garamond"/>
        </w:rPr>
        <w:instrText>) dalam ajaran Konfusius. Ritus teing tinu memiliki makna sebagai wujud tanggung jawab dari anak-anak kepada orang tua. Ritus ini juga merupakan wujud bakti dan rasa hormat anak kepada orang tua serta ungkapan terima kasih atas segala kebaikan dan jasa orang tua terhadap anak-anak selama hidup di dunia. Ritus teing tinu menjadi bentuk kearifan lokal masyarakat Manggarai yang patut dilestarikan serta diwariskan kepada kaum muda. Harapan ini seolah terpupus oleh minimnya perhatian kaum muda terhadap ritus teing tinu, yang diakibatkan oleh perkembangan teknologi yang semakin pesat. Sikap hidup pragmatis dan acuh tak acuh kaum muda Manggarai berdampak pada terkikisnya makna dan nilai yang terkandung dalam ritus teing tinu. Merebaknya budaya kekerasan, sikap kasar, mudah tersulut emosi, serta anarkisme sosial yang menggurita kini mulai menghinggapi hidup kaum muda Manggarai. Berbagai problem hidup dan derasnya arus zaman yang sulit terbendung ini membuat penulis terpanggil untuk menggali dan berusaha menarik makna yang termuat dalam kebudayaan Manggarai khususnya budaya teing tinu sebagai upaya menarik kembali kaum muda Manggarai pada norma hidup yang berlaku di Manggarai khususnya budaya saling menghormati dan sopan santun. Penulis menggunakan metode studi pustaka dan pembacaan kritis atas budaya Manggarai dan karya-karya Konfusius secara khusus mengenai praktik Xiao dalam karya-karyanya. Penelitian ini menemukan bahwa, aneka nilai dalam ritus teing tinu bertalian erat dengan nilai dalam praktik Xiao ajaran Konfusius.","author":[{"dropping-particle":"","family":"Hamat","given":"Yulianus Evantus","non-dropping-particle":"","parse-names":false,"suffix":""},{"dropping-particle":"","family":"Lie","given":"Agustinus","non-dropping-particle":"","parse-names":false,"suffix":""}],"container-title":"Jurnal Filsafat Indonesia","id":"ITEM-1","issue":"2","issued":{"date-parts":[["2024","6","30"]]},"page":"217-227","title":"Makna Ritus “Teing Tinu” Masyarakat Manggarai dan Praktik Xiao (</w:instrText>
      </w:r>
      <w:r w:rsidRPr="00D01A5E">
        <w:rPr>
          <w:rFonts w:ascii="Garamond" w:hAnsi="Garamond"/>
        </w:rPr>
        <w:instrText>孝</w:instrText>
      </w:r>
      <w:r w:rsidRPr="00D01A5E">
        <w:rPr>
          <w:rFonts w:ascii="Garamond" w:hAnsi="Garamond"/>
        </w:rPr>
        <w:instrText>) dalam Pemikiran Confucius","type":"article-journal","volume":"7"},"uris":["http://www.mendeley.com/documents/?uuid=989dac69-1ffa-442d-ac25-536784e06ed4"]}],"mendeley":{"formattedCitation":"Yulianus Evantus Hamat and Agustinus Lie, “Makna Ritus ‘Teing Tinu’ Masyarakat Manggarai Dan Praktik Xiao (</w:instrText>
      </w:r>
      <w:r w:rsidRPr="00D01A5E">
        <w:rPr>
          <w:rFonts w:ascii="Garamond" w:hAnsi="Garamond"/>
        </w:rPr>
        <w:instrText>孝</w:instrText>
      </w:r>
      <w:r w:rsidRPr="00D01A5E">
        <w:rPr>
          <w:rFonts w:ascii="Garamond" w:hAnsi="Garamond"/>
        </w:rPr>
        <w:instrText>) Dalam Pemikiran Confucius,” &lt;i&gt;Jurnal Filsafat Indonesia&lt;/i&gt; 7, no. 2 (June 30, 2024): 217–27, https://doi.org/10.23887/jfi.v7i2.76519.","plainTextFormattedCitation":"Yulianus Evantus Hamat and Agustinus Lie, “Makna Ritus ‘Teing Tinu’ Masyarakat Manggarai Dan Praktik Xiao (</w:instrText>
      </w:r>
      <w:r w:rsidRPr="00D01A5E">
        <w:rPr>
          <w:rFonts w:ascii="Garamond" w:hAnsi="Garamond"/>
        </w:rPr>
        <w:instrText>孝</w:instrText>
      </w:r>
      <w:r w:rsidRPr="00D01A5E">
        <w:rPr>
          <w:rFonts w:ascii="Garamond" w:hAnsi="Garamond"/>
        </w:rPr>
        <w:instrText>) Dalam Pemikiran Confucius,” Jurnal Filsafat Indonesia 7, no. 2 (June 30, 2024): 217–27, https://doi.org/10.23887/jfi.v7i2.76519.","previouslyFormattedCitation":"Yulianus Evantus Hamat and Agustinus Lie, “Makna Ritus ‘Teing Tinu’ Masyarakat Manggarai Dan Praktik Xiao (</w:instrText>
      </w:r>
      <w:r w:rsidRPr="00D01A5E">
        <w:rPr>
          <w:rFonts w:ascii="Garamond" w:hAnsi="Garamond"/>
        </w:rPr>
        <w:instrText>孝</w:instrText>
      </w:r>
      <w:r w:rsidRPr="00D01A5E">
        <w:rPr>
          <w:rFonts w:ascii="Garamond" w:hAnsi="Garamond"/>
        </w:rPr>
        <w:instrText>) Dalam Pemikiran Confucius,” &lt;i&gt;Jurnal Filsafat Indonesia&lt;/i&gt; 7, no. 2 (June 30, 2024): 217–27, https://doi.org/10.23887/jfi.v7i2.76519."},"properties":{"noteIndex":42},"schema":"https://github.com/citation-style-language/schema/raw/master/csl-citation.json"}</w:instrText>
      </w:r>
      <w:r w:rsidR="00071F8A" w:rsidRPr="00D01A5E">
        <w:rPr>
          <w:rFonts w:ascii="Garamond" w:hAnsi="Garamond"/>
        </w:rPr>
        <w:fldChar w:fldCharType="separate"/>
      </w:r>
      <w:r w:rsidRPr="00D01A5E">
        <w:rPr>
          <w:rFonts w:ascii="Garamond" w:hAnsi="Garamond"/>
          <w:noProof/>
        </w:rPr>
        <w:t>Yulianus Evantus Hamat and Agustinus Lie, “Makna Ritus ‘Teing Tinu’ Masyarakat Manggarai Dan Praktik Xiao (</w:t>
      </w:r>
      <w:r w:rsidRPr="00D01A5E">
        <w:rPr>
          <w:rFonts w:ascii="Garamond" w:hAnsi="Garamond"/>
          <w:noProof/>
        </w:rPr>
        <w:t>孝</w:t>
      </w:r>
      <w:r w:rsidRPr="00D01A5E">
        <w:rPr>
          <w:rFonts w:ascii="Garamond" w:hAnsi="Garamond"/>
          <w:noProof/>
        </w:rPr>
        <w:t xml:space="preserve">) Dalam Pemikiran Confucius,” </w:t>
      </w:r>
      <w:r w:rsidRPr="00D01A5E">
        <w:rPr>
          <w:rFonts w:ascii="Garamond" w:hAnsi="Garamond"/>
          <w:i/>
          <w:noProof/>
        </w:rPr>
        <w:t>Jurnal Filsafat Indonesia</w:t>
      </w:r>
      <w:r w:rsidRPr="00D01A5E">
        <w:rPr>
          <w:rFonts w:ascii="Garamond" w:hAnsi="Garamond"/>
          <w:noProof/>
        </w:rPr>
        <w:t xml:space="preserve"> 7, no. 2 (June 30, 2024): 217–27, https://doi.org/10.23887/jfi.v7i2.76519.</w:t>
      </w:r>
      <w:r w:rsidR="00071F8A" w:rsidRPr="00D01A5E">
        <w:rPr>
          <w:rFonts w:ascii="Garamond" w:hAnsi="Garamond"/>
        </w:rPr>
        <w:fldChar w:fldCharType="end"/>
      </w:r>
    </w:p>
  </w:footnote>
  <w:footnote w:id="44">
    <w:p w:rsidR="001F7DC0" w:rsidRPr="00D01A5E" w:rsidRDefault="001F7DC0" w:rsidP="00D01A5E">
      <w:pPr>
        <w:pStyle w:val="FootnoteText"/>
        <w:ind w:firstLine="851"/>
        <w:jc w:val="both"/>
        <w:rPr>
          <w:rFonts w:ascii="Garamond" w:hAnsi="Garamond"/>
          <w:lang w:val="en-US"/>
        </w:rPr>
      </w:pPr>
      <w:r w:rsidRPr="00D01A5E">
        <w:rPr>
          <w:rStyle w:val="FootnoteReference"/>
          <w:rFonts w:ascii="Garamond" w:hAnsi="Garamond"/>
        </w:rPr>
        <w:footnoteRef/>
      </w:r>
      <w:r w:rsidRPr="00D01A5E">
        <w:rPr>
          <w:rFonts w:ascii="Garamond" w:hAnsi="Garamond"/>
        </w:rPr>
        <w:t xml:space="preserve"> </w:t>
      </w:r>
      <w:r w:rsidR="00071F8A" w:rsidRPr="00D01A5E">
        <w:rPr>
          <w:rFonts w:ascii="Garamond" w:hAnsi="Garamond"/>
        </w:rPr>
        <w:fldChar w:fldCharType="begin" w:fldLock="1"/>
      </w:r>
      <w:r w:rsidRPr="00D01A5E">
        <w:rPr>
          <w:rFonts w:ascii="Garamond" w:hAnsi="Garamond"/>
        </w:rPr>
        <w:instrText>ADDIN CSL_CITATION {"citationItems":[{"id":"ITEM-1","itemData":{"DOI":"https://doi.org/10.48094/raudhah.v7i2.416","author":[{"dropping-particle":"","family":"Rahmawati","given":"Fitria Dwi","non-dropping-particle":"","parse-names":false,"suffix":""},{"dropping-particle":"","family":"Mubarokah","given":"Lailatul","non-dropping-particle":"","parse-names":false,"suffix":""},{"dropping-particle":"","family":"Asrori","given":"Mohammad","non-dropping-particle":"","parse-names":false,"suffix":""},{"dropping-particle":"","family":"Wilatikta","given":"Ayu","non-dropping-particle":"","parse-names":false,"suffix":""}],"container-title":"Raudhah Proud To Be Professionals: Jurnal Tarbiyah Islamiyah","id":"ITEM-1","issue":"2","issued":{"date-parts":[["2022"]]},"page":"511-531","title":"Tokoh-Tokoh dan Pemikiran Filsafat Dunia Barat","type":"article-journal","volume":"7"},"uris":["http://www.mendeley.com/documents/?uuid=335c3b68-d85f-4b98-a595-1da5004d3f88"]}],"mendeley":{"formattedCitation":"Rahmawati et al., “Tokoh-Tokoh Dan Pemikiran Filsafat Dunia Barat.”","plainTextFormattedCitation":"Rahmawati et al., “Tokoh-Tokoh Dan Pemikiran Filsafat Dunia Barat.”","previouslyFormattedCitation":"Rahmawati et al., “Tokoh-Tokoh Dan Pemikiran Filsafat Dunia Barat.”"},"properties":{"noteIndex":43},"schema":"https://github.com/citation-style-language/schema/raw/master/csl-citation.json"}</w:instrText>
      </w:r>
      <w:r w:rsidR="00071F8A" w:rsidRPr="00D01A5E">
        <w:rPr>
          <w:rFonts w:ascii="Garamond" w:hAnsi="Garamond"/>
        </w:rPr>
        <w:fldChar w:fldCharType="separate"/>
      </w:r>
      <w:r w:rsidRPr="00D01A5E">
        <w:rPr>
          <w:rFonts w:ascii="Garamond" w:hAnsi="Garamond"/>
          <w:noProof/>
        </w:rPr>
        <w:t>Rahmawati et al., “Tokoh-Tokoh Dan Pemikiran Filsafat Dunia Barat.”</w:t>
      </w:r>
      <w:r w:rsidR="00071F8A" w:rsidRPr="00D01A5E">
        <w:rPr>
          <w:rFonts w:ascii="Garamond" w:hAnsi="Garamond"/>
        </w:rPr>
        <w:fldChar w:fldCharType="end"/>
      </w:r>
    </w:p>
  </w:footnote>
  <w:footnote w:id="45">
    <w:p w:rsidR="001F7DC0" w:rsidRPr="00D01A5E" w:rsidRDefault="001F7DC0" w:rsidP="00D01A5E">
      <w:pPr>
        <w:pStyle w:val="FootnoteText"/>
        <w:ind w:firstLine="851"/>
        <w:jc w:val="both"/>
        <w:rPr>
          <w:rFonts w:ascii="Garamond" w:hAnsi="Garamond"/>
          <w:lang w:val="en-US"/>
        </w:rPr>
      </w:pPr>
      <w:r w:rsidRPr="00D01A5E">
        <w:rPr>
          <w:rStyle w:val="FootnoteReference"/>
          <w:rFonts w:ascii="Garamond" w:hAnsi="Garamond"/>
        </w:rPr>
        <w:footnoteRef/>
      </w:r>
      <w:r w:rsidRPr="00D01A5E">
        <w:rPr>
          <w:rFonts w:ascii="Garamond" w:hAnsi="Garamond"/>
        </w:rPr>
        <w:t xml:space="preserve"> </w:t>
      </w:r>
      <w:r w:rsidR="00071F8A" w:rsidRPr="00D01A5E">
        <w:rPr>
          <w:rFonts w:ascii="Garamond" w:hAnsi="Garamond"/>
        </w:rPr>
        <w:fldChar w:fldCharType="begin" w:fldLock="1"/>
      </w:r>
      <w:r w:rsidR="007F6AD6" w:rsidRPr="00D01A5E">
        <w:rPr>
          <w:rFonts w:ascii="Garamond" w:hAnsi="Garamond"/>
        </w:rPr>
        <w:instrText>ADDIN CSL_CITATION {"citationItems":[{"id":"ITEM-1","itemData":{"author":[{"dropping-particle":"","family":"Gadamer","given":"Hans-Georg","non-dropping-particle":"","parse-names":false,"suffix":""}],"id":"ITEM-1","issued":{"date-parts":[["2006"]]},"publisher":"Continuum","publisher-place":"London","title":"Truth and Method","translator":[{"dropping-particle":"","family":"Weinsheimer","given":"Joel","non-dropping-particle":"","parse-names":false,"suffix":""},{"dropping-particle":"","family":"Marshall","given":"Donald G.","non-dropping-particle":"","parse-names":false,"suffix":""}],"type":"book"},"uris":["http://www.mendeley.com/documents/?uuid=ee49db07-e150-4894-8b34-84458a17cf3a"]}],"mendeley":{"formattedCitation":"Gadamer, &lt;i&gt;Truth and Method&lt;/i&gt;.","plainTextFormattedCitation":"Gadamer, Truth and Method.","previouslyFormattedCitation":"Gadamer, &lt;i&gt;Truth and Method&lt;/i&gt;."},"properties":{"noteIndex":44},"schema":"https://github.com/citation-style-language/schema/raw/master/csl-citation.json"}</w:instrText>
      </w:r>
      <w:r w:rsidR="00071F8A" w:rsidRPr="00D01A5E">
        <w:rPr>
          <w:rFonts w:ascii="Garamond" w:hAnsi="Garamond"/>
        </w:rPr>
        <w:fldChar w:fldCharType="separate"/>
      </w:r>
      <w:r w:rsidRPr="00D01A5E">
        <w:rPr>
          <w:rFonts w:ascii="Garamond" w:hAnsi="Garamond"/>
          <w:noProof/>
        </w:rPr>
        <w:t xml:space="preserve">Gadamer, </w:t>
      </w:r>
      <w:r w:rsidRPr="00D01A5E">
        <w:rPr>
          <w:rFonts w:ascii="Garamond" w:hAnsi="Garamond"/>
          <w:i/>
          <w:noProof/>
        </w:rPr>
        <w:t>Truth and Method</w:t>
      </w:r>
      <w:r w:rsidRPr="00D01A5E">
        <w:rPr>
          <w:rFonts w:ascii="Garamond" w:hAnsi="Garamond"/>
          <w:noProof/>
        </w:rPr>
        <w:t>.</w:t>
      </w:r>
      <w:r w:rsidR="00071F8A" w:rsidRPr="00D01A5E">
        <w:rPr>
          <w:rFonts w:ascii="Garamond" w:hAnsi="Garamond"/>
        </w:rPr>
        <w:fldChar w:fldCharType="end"/>
      </w:r>
    </w:p>
  </w:footnote>
  <w:footnote w:id="46">
    <w:p w:rsidR="007F6AD6" w:rsidRPr="00D01A5E" w:rsidRDefault="007F6AD6" w:rsidP="00D01A5E">
      <w:pPr>
        <w:pStyle w:val="FootnoteText"/>
        <w:ind w:firstLine="851"/>
        <w:jc w:val="both"/>
        <w:rPr>
          <w:rFonts w:ascii="Garamond" w:hAnsi="Garamond"/>
          <w:lang w:val="en-US"/>
        </w:rPr>
      </w:pPr>
      <w:r w:rsidRPr="00D01A5E">
        <w:rPr>
          <w:rStyle w:val="FootnoteReference"/>
          <w:rFonts w:ascii="Garamond" w:hAnsi="Garamond"/>
        </w:rPr>
        <w:footnoteRef/>
      </w:r>
      <w:r w:rsidRPr="00D01A5E">
        <w:rPr>
          <w:rFonts w:ascii="Garamond" w:hAnsi="Garamond"/>
        </w:rPr>
        <w:t xml:space="preserve"> </w:t>
      </w:r>
      <w:r w:rsidR="00071F8A" w:rsidRPr="00D01A5E">
        <w:rPr>
          <w:rFonts w:ascii="Garamond" w:hAnsi="Garamond"/>
        </w:rPr>
        <w:fldChar w:fldCharType="begin" w:fldLock="1"/>
      </w:r>
      <w:r w:rsidRPr="00D01A5E">
        <w:rPr>
          <w:rFonts w:ascii="Garamond" w:hAnsi="Garamond"/>
        </w:rPr>
        <w:instrText>ADDIN CSL_CITATION {"citationItems":[{"id":"ITEM-1","itemData":{"DOI":"https://doi.org/10.22146/jf.31428","author":[{"dropping-particle":"","family":"Lasiyo","given":"Lasiyo","non-dropping-particle":"","parse-names":false,"suffix":""}],"container-title":"Jurnal Filsafat","id":"ITEM-1","issue":"1","issued":{"date-parts":[["1994"]]},"page":"14-22","title":"Sumbangan Filsafat Confucianisme dalam Menghadapi Abad XXI","type":"article-journal","volume":"201"},"uris":["http://www.mendeley.com/documents/?uuid=7ed96dc7-e783-4a5e-acae-bfa0c059106e"]}],"mendeley":{"formattedCitation":"Lasiyo Lasiyo, “Sumbangan Filsafat Confucianisme Dalam Menghadapi Abad XXI,” &lt;i&gt;Jurnal Filsafat&lt;/i&gt; 201, no. 1 (1994): 14–22, https://doi.org/https://doi.org/10.22146/jf.31428.","plainTextFormattedCitation":"Lasiyo Lasiyo, “Sumbangan Filsafat Confucianisme Dalam Menghadapi Abad XXI,” Jurnal Filsafat 201, no. 1 (1994): 14–22, https://doi.org/https://doi.org/10.22146/jf.31428.","previouslyFormattedCitation":"Lasiyo Lasiyo, “Sumbangan Filsafat Confucianisme Dalam Menghadapi Abad XXI,” &lt;i&gt;Jurnal Filsafat&lt;/i&gt; 201, no. 1 (1994): 14–22, https://doi.org/https://doi.org/10.22146/jf.31428."},"properties":{"noteIndex":45},"schema":"https://github.com/citation-style-language/schema/raw/master/csl-citation.json"}</w:instrText>
      </w:r>
      <w:r w:rsidR="00071F8A" w:rsidRPr="00D01A5E">
        <w:rPr>
          <w:rFonts w:ascii="Garamond" w:hAnsi="Garamond"/>
        </w:rPr>
        <w:fldChar w:fldCharType="separate"/>
      </w:r>
      <w:r w:rsidRPr="00D01A5E">
        <w:rPr>
          <w:rFonts w:ascii="Garamond" w:hAnsi="Garamond"/>
          <w:noProof/>
        </w:rPr>
        <w:t xml:space="preserve">Lasiyo Lasiyo, “Sumbangan Filsafat Confucianisme Dalam Menghadapi Abad XXI,” </w:t>
      </w:r>
      <w:r w:rsidRPr="00D01A5E">
        <w:rPr>
          <w:rFonts w:ascii="Garamond" w:hAnsi="Garamond"/>
          <w:i/>
          <w:noProof/>
        </w:rPr>
        <w:t>Jurnal Filsafat</w:t>
      </w:r>
      <w:r w:rsidRPr="00D01A5E">
        <w:rPr>
          <w:rFonts w:ascii="Garamond" w:hAnsi="Garamond"/>
          <w:noProof/>
        </w:rPr>
        <w:t xml:space="preserve"> 201, no. 1 (1994): 14–22, https://doi.org/https://doi.org/10.22146/jf.31428.</w:t>
      </w:r>
      <w:r w:rsidR="00071F8A" w:rsidRPr="00D01A5E">
        <w:rPr>
          <w:rFonts w:ascii="Garamond" w:hAnsi="Garamond"/>
        </w:rPr>
        <w:fldChar w:fldCharType="end"/>
      </w:r>
    </w:p>
  </w:footnote>
  <w:footnote w:id="47">
    <w:p w:rsidR="007F6AD6" w:rsidRPr="00D01A5E" w:rsidRDefault="007F6AD6" w:rsidP="00D01A5E">
      <w:pPr>
        <w:pStyle w:val="FootnoteText"/>
        <w:ind w:firstLine="851"/>
        <w:jc w:val="both"/>
        <w:rPr>
          <w:rFonts w:ascii="Garamond" w:hAnsi="Garamond"/>
          <w:lang w:val="en-US"/>
        </w:rPr>
      </w:pPr>
      <w:r w:rsidRPr="00D01A5E">
        <w:rPr>
          <w:rStyle w:val="FootnoteReference"/>
          <w:rFonts w:ascii="Garamond" w:hAnsi="Garamond"/>
        </w:rPr>
        <w:footnoteRef/>
      </w:r>
      <w:r w:rsidRPr="00D01A5E">
        <w:rPr>
          <w:rFonts w:ascii="Garamond" w:hAnsi="Garamond"/>
        </w:rPr>
        <w:t xml:space="preserve"> </w:t>
      </w:r>
      <w:r w:rsidR="00071F8A" w:rsidRPr="00D01A5E">
        <w:rPr>
          <w:rFonts w:ascii="Garamond" w:hAnsi="Garamond"/>
        </w:rPr>
        <w:fldChar w:fldCharType="begin" w:fldLock="1"/>
      </w:r>
      <w:r w:rsidRPr="00D01A5E">
        <w:rPr>
          <w:rFonts w:ascii="Garamond" w:hAnsi="Garamond"/>
        </w:rPr>
        <w:instrText>ADDIN CSL_CITATION {"citationItems":[{"id":"ITEM-1","itemData":{"DOI":"10.37680/qalamuna.v8i02.357","ISSN":"2656-9779","abstract":"Immanuel Kant is one of the most influential philosophers in the history of Western philosophy. His contributions to metaphysics, epistemology, ethics, and aesthetics have had a profound impact on almost every philosophical movement that followed him. This portion will focus on his metaphysics and epistemology in one of his most important works. The Critique of Pure Reason, A large part of Kant’s work addresses the question “What can we know?” The answer, if it can be stated simply, is that our knowledge is constrained to mathematics and the science of the -natural, empirical world. It is impossible, Kant argues, to extend knowledge to the supersensible realm of speculative metaphysics. The reason that knowledge has these constraints, Kant argues, is that the mind plays an active role in constituting the features of experience and limiting the mind's access to the empirical realm of space and time. In order to understand Kant's position, we must understand the philosophical background that he was reacting to. First, 1 will present a brief overview of his predecessor's positions with a brief statement of Kant's objections, then I will return to a more detailed exposition of Kant's arguments. There are two major historical movements in the early modem period of philosophy that had a significant impact on Kant; Empiricism and Rationalism,","author":[{"dropping-particle":"","family":"Budiwan","given":"Jauhan","non-dropping-particle":"","parse-names":false,"suffix":""}],"container-title":"Qalamuna: Jurnal Pendidikan, Sosial, dan Agama","id":"ITEM-1","issue":"02","issued":{"date-parts":[["2016","8"]]},"title":"Kritik Immanuel Kant Terhadap Faham Rasionalisme Dan Empirisme","type":"article-journal","volume":"8"},"uris":["http://www.mendeley.com/documents/?uuid=d2f1e2c2-fee9-4139-ae90-8dbe97647080"]}],"mendeley":{"formattedCitation":"Jauhan Budiwan, “Kritik Immanuel Kant Terhadap Faham Rasionalisme Dan Empirisme,” &lt;i&gt;Qalamuna: Jurnal Pendidikan, Sosial, Dan Agama&lt;/i&gt; 8, no. 02 (August 2016), https://doi.org/10.37680/qalamuna.v8i02.357.","plainTextFormattedCitation":"Jauhan Budiwan, “Kritik Immanuel Kant Terhadap Faham Rasionalisme Dan Empirisme,” Qalamuna: Jurnal Pendidikan, Sosial, Dan Agama 8, no. 02 (August 2016), https://doi.org/10.37680/qalamuna.v8i02.357.","previouslyFormattedCitation":"Jauhan Budiwan, “Kritik Immanuel Kant Terhadap Faham Rasionalisme Dan Empirisme,” &lt;i&gt;Qalamuna: Jurnal Pendidikan, Sosial, Dan Agama&lt;/i&gt; 8, no. 02 (August 2016), https://doi.org/10.37680/qalamuna.v8i02.357."},"properties":{"noteIndex":46},"schema":"https://github.com/citation-style-language/schema/raw/master/csl-citation.json"}</w:instrText>
      </w:r>
      <w:r w:rsidR="00071F8A" w:rsidRPr="00D01A5E">
        <w:rPr>
          <w:rFonts w:ascii="Garamond" w:hAnsi="Garamond"/>
        </w:rPr>
        <w:fldChar w:fldCharType="separate"/>
      </w:r>
      <w:r w:rsidRPr="00D01A5E">
        <w:rPr>
          <w:rFonts w:ascii="Garamond" w:hAnsi="Garamond"/>
          <w:noProof/>
        </w:rPr>
        <w:t xml:space="preserve">Jauhan Budiwan, “Kritik Immanuel Kant Terhadap Faham Rasionalisme Dan Empirisme,” </w:t>
      </w:r>
      <w:r w:rsidRPr="00D01A5E">
        <w:rPr>
          <w:rFonts w:ascii="Garamond" w:hAnsi="Garamond"/>
          <w:i/>
          <w:noProof/>
        </w:rPr>
        <w:t>Qalamuna: Jurnal Pendidikan, Sosial, Dan Agama</w:t>
      </w:r>
      <w:r w:rsidRPr="00D01A5E">
        <w:rPr>
          <w:rFonts w:ascii="Garamond" w:hAnsi="Garamond"/>
          <w:noProof/>
        </w:rPr>
        <w:t xml:space="preserve"> 8, no. 02 (August 2016), https://doi.org/10.37680/qalamuna.v8i02.357.</w:t>
      </w:r>
      <w:r w:rsidR="00071F8A" w:rsidRPr="00D01A5E">
        <w:rPr>
          <w:rFonts w:ascii="Garamond" w:hAnsi="Garamond"/>
        </w:rPr>
        <w:fldChar w:fldCharType="end"/>
      </w:r>
    </w:p>
  </w:footnote>
  <w:footnote w:id="48">
    <w:p w:rsidR="007F6AD6" w:rsidRPr="00D01A5E" w:rsidRDefault="007F6AD6" w:rsidP="00D01A5E">
      <w:pPr>
        <w:pStyle w:val="FootnoteText"/>
        <w:ind w:firstLine="851"/>
        <w:jc w:val="both"/>
        <w:rPr>
          <w:rFonts w:ascii="Garamond" w:hAnsi="Garamond"/>
          <w:lang w:val="en-US"/>
        </w:rPr>
      </w:pPr>
      <w:r w:rsidRPr="00D01A5E">
        <w:rPr>
          <w:rStyle w:val="FootnoteReference"/>
          <w:rFonts w:ascii="Garamond" w:hAnsi="Garamond"/>
        </w:rPr>
        <w:footnoteRef/>
      </w:r>
      <w:r w:rsidRPr="00D01A5E">
        <w:rPr>
          <w:rFonts w:ascii="Garamond" w:hAnsi="Garamond"/>
        </w:rPr>
        <w:t xml:space="preserve"> </w:t>
      </w:r>
      <w:r w:rsidR="00071F8A" w:rsidRPr="00D01A5E">
        <w:rPr>
          <w:rFonts w:ascii="Garamond" w:hAnsi="Garamond"/>
        </w:rPr>
        <w:fldChar w:fldCharType="begin" w:fldLock="1"/>
      </w:r>
      <w:r w:rsidR="0063112B" w:rsidRPr="00D01A5E">
        <w:rPr>
          <w:rFonts w:ascii="Garamond" w:hAnsi="Garamond"/>
        </w:rPr>
        <w:instrText xml:space="preserve">ADDIN CSL_CITATION {"citationItems":[{"id":"ITEM-1","itemData":{"DOI":"10.21009/JSQ.015.2.06","ISSN":"2339-2614","abstract":"Modernism and postmodernism were born from mainland Europe and America. This philosophical thought penetrated religious issues. Postmodernism was born as an attempt to understand social conditions and phenomena, the term postmodernism appeared for the first time in literature in 1939. In the context of religion, Postmodernism in its aim so that religious understanding does not fall into the system of totalitarian interpretation in a religious context and the context of social systems, economics, culture, and politics. The topic of Postmodernism in this paper is presented based on its actuality and to stimulate our thinking which is generally still oriented to modern or even traditional concepts. By studying this relatively new concept we will be confronted with the basic question of which philosophical thinking results have correlation values </w:instrText>
      </w:r>
      <w:r w:rsidR="0063112B" w:rsidRPr="00D01A5E">
        <w:rPr>
          <w:rFonts w:ascii="Times New Roman" w:hAnsi="Times New Roman" w:cs="Times New Roman"/>
        </w:rPr>
        <w:instrText>​​</w:instrText>
      </w:r>
      <w:r w:rsidR="0063112B" w:rsidRPr="00D01A5E">
        <w:rPr>
          <w:rFonts w:ascii="Garamond" w:hAnsi="Garamond"/>
        </w:rPr>
        <w:instrText>and relevance to the development and demands of contemporary society, not which ones are theoretically correct. The statement confirms the relativity of reason. The realm of absolute truth is not in humans, absolute truth is from and belongs to God. Keywords: Postmodernism, Contemporary Islam, Moderism Abstrak Modernisme dan postmodernisme lahir dari daratan Eropa dan Amerika Pemikiran filosofis ini merambah ke persoalan keagamaan. Postmodernime lahir sebagai usaha memahami kondisi dan fenomena sosial, istilah postmodernisme muncul untuk pertama kalinya dalam sastra pada tahun 1939. Dalam konteks keagamaan, Postmodernisme dalam bertujuannya agar faham keagamaan tidak jatuh pada sistem tafsir totaliter tunggal dalam konteks keagamaan dan dalam konteks sistem sosial, ekonomi, budaya dan politik. Topik Postmodernisme dalam tulisan ini disajikan berdasarkan pada aktualitasnya dan guna merangsang pemikiran kita yang pada umumnya masih berorientasi pada konsep-konsep modern atau bahkan tradisional. Dengan mempelajari konsep yang relatif baru ini kita akan dihadapkan pada pertanyaan dasar tentang hasil pemkiran filsafat yang manakah yang mempunyai nilai korelasi dan relevansi dengan perkembangan dan tuntutan masyarakat kontemporer, bukan yang manakah yang benar secara teoritis an sich. Pernyataan tersebut menegaskan relativitas kebenaran nalar. Wilayah kebenaran mutlak bukan ada pada manusia, Kebenaran mutlak adalah dari dan milik Tuhan. Kata kunci: Postmodernisme, Modernisme, Pemikiran Islam","author":[{"dropping-particle":"","family":"Ismail","given":"Yusuf","non-dropping-particle":"","parse-names":false,"suffix":""}],"container-title":"Jurnal Online Studi Al-Qur an","id":"ITEM-1","issue":"2","issued":{"date-parts":[["2019","7","31"]]},"page":"235-248","title":"Postmodernism and the Development of Contemporary Islamic Thought","type":"article-journal","volume":"15"},"uris":["http://www.mendeley.com/documents/?uuid=96ffcd87-9727-48b6-916f-c4cbe367cfaf"]}],"mendeley":{"formattedCitation":"Yusuf Ismail, “Postmodernism and the Development of Contemporary Islamic Thought,” &lt;i&gt;Jurnal Online Studi Al-Qur An&lt;/i&gt; 15, no. 2 (July 31, 2019): 235–48, https://doi.org/10.21009/JSQ.015.2.06.","plainTextFormattedCitation":"Yusuf Ismail, “Postmodernism and the Development of Contemporary Islamic Thought,” Jurnal Online Studi Al-Qur An 15, no. 2 (July 31, 2019): 235–48, https://doi.org/10.21009/JSQ.015.2.06.","previouslyFormattedCitation":"Yusuf Ismail, “Postmodernism and the Development of Contemporary Islamic Thought,” &lt;i&gt;Jurnal Online Studi Al-Qur An&lt;/i&gt; 15, no. 2 (July 31, 2019): 235–48, https://doi.org/10.21009/JSQ.015.2.06."},"properties":{"noteIndex":47},"schema":"https://github.com/citation-style-language/schema/raw/master/csl-citation.json"}</w:instrText>
      </w:r>
      <w:r w:rsidR="00071F8A" w:rsidRPr="00D01A5E">
        <w:rPr>
          <w:rFonts w:ascii="Garamond" w:hAnsi="Garamond"/>
        </w:rPr>
        <w:fldChar w:fldCharType="separate"/>
      </w:r>
      <w:r w:rsidRPr="00D01A5E">
        <w:rPr>
          <w:rFonts w:ascii="Garamond" w:hAnsi="Garamond"/>
          <w:noProof/>
        </w:rPr>
        <w:t xml:space="preserve">Yusuf Ismail, “Postmodernism and the Development of Contemporary Islamic Thought,” </w:t>
      </w:r>
      <w:r w:rsidRPr="00D01A5E">
        <w:rPr>
          <w:rFonts w:ascii="Garamond" w:hAnsi="Garamond"/>
          <w:i/>
          <w:noProof/>
        </w:rPr>
        <w:t>Jurnal Online Studi Al-Qur An</w:t>
      </w:r>
      <w:r w:rsidRPr="00D01A5E">
        <w:rPr>
          <w:rFonts w:ascii="Garamond" w:hAnsi="Garamond"/>
          <w:noProof/>
        </w:rPr>
        <w:t xml:space="preserve"> 15, no. 2 (July 31, 2019): 235–48, https://doi.org/10.21009/JSQ.015.2.06.</w:t>
      </w:r>
      <w:r w:rsidR="00071F8A" w:rsidRPr="00D01A5E">
        <w:rPr>
          <w:rFonts w:ascii="Garamond" w:hAnsi="Garamond"/>
        </w:rPr>
        <w:fldChar w:fldCharType="end"/>
      </w:r>
    </w:p>
  </w:footnote>
  <w:footnote w:id="49">
    <w:p w:rsidR="0063112B" w:rsidRPr="00D01A5E" w:rsidRDefault="0063112B" w:rsidP="00D01A5E">
      <w:pPr>
        <w:pStyle w:val="FootnoteText"/>
        <w:ind w:firstLine="851"/>
        <w:jc w:val="both"/>
        <w:rPr>
          <w:rFonts w:ascii="Garamond" w:hAnsi="Garamond"/>
          <w:lang w:val="en-US"/>
        </w:rPr>
      </w:pPr>
      <w:r w:rsidRPr="00D01A5E">
        <w:rPr>
          <w:rStyle w:val="FootnoteReference"/>
          <w:rFonts w:ascii="Garamond" w:hAnsi="Garamond"/>
        </w:rPr>
        <w:footnoteRef/>
      </w:r>
      <w:r w:rsidRPr="00D01A5E">
        <w:rPr>
          <w:rFonts w:ascii="Garamond" w:hAnsi="Garamond"/>
        </w:rPr>
        <w:t xml:space="preserve"> </w:t>
      </w:r>
      <w:r w:rsidR="00071F8A" w:rsidRPr="00D01A5E">
        <w:rPr>
          <w:rFonts w:ascii="Garamond" w:hAnsi="Garamond"/>
        </w:rPr>
        <w:fldChar w:fldCharType="begin" w:fldLock="1"/>
      </w:r>
      <w:r w:rsidRPr="00D01A5E">
        <w:rPr>
          <w:rFonts w:ascii="Garamond" w:hAnsi="Garamond"/>
        </w:rPr>
        <w:instrText>ADDIN CSL_CITATION {"citationItems":[{"id":"ITEM-1","itemData":{"DOI":"10.31294/jkom.v12i2.10472","ISSN":"2579-3292","abstract":"Dalam dunia kontemporer yang sudah serba terdigitalisasi, pemanfaat teknologimenjadi marak dipergunakan. Hal yang sama juga berlaku di dalam dunia komunikasi.Manusia sebagai makhluk sosial tentu memiliki kecenderungan untuk terus mencari manusialain untuk proses pertukaran pesan. Media sosial sebagai wujud pemanfaatan teknologi tadidipergunakan untuk kepanjangan indrawi manusia dalam kemampuan berinteraksi. Dalamprosesnya, adanya mesin-mesin tadi yang terbungkus dalam istilah teknologi ini kemudianmenimbulkan pertanyaan, apakah pemanfaatannya dibarengi dengan etika—sebuah konsepsiyang menimbang baik-buruk—mengingat banyak platform berbasis internet memungkinkanproses komunikasi tanpa perlu repot terlebih dahulu saling bertukar pandang.Masih segar dalam ingatan, kasus Jrx, penabuh drum SID yang mencantumkanpostingan di sosial media “IDI kacung WHO” sehingga berujung pada pelanggaran pasal 28ayat (2) jo Pasal 45A ayat (2) dan/atau pasal 27 ayat (3) jo pasal 45 ayat (3) jo pasal 45 ayat(3) UU Informasi dan Transaksi Elektronik dan/atau pasal 310 KUHP dan/atau pasal 311KUHP. Meski disangkakan seabrek pasal, Jrx berdalih dirinya hanya memperjuangkan nyawarakyat. “Kritik saya ini untuk ibu-ibu yang menjadi korban akibat dari kebijakan kewajiban rapid test (sebagai syarat administrasi).”Muncul kemudian pertanyaan, mengapa klaim yang begitu heroik dari niat yang begitu mulia kemudian bisa bermuara pada pelanggaran hukum? Di mana letak kesalahan komunikasinya? Apakah konten postingan yang menyebut IDI kacung WHO? Apakah karena cara kritik yang kurang relevan? Lalu bagaimana cara kritik yang pantas dan relevan? Apakah medium penyalur kritik tersebut sudah tepat? Apakah yang dilakukan oleh yang bersangkutan sudah sejalan dengan niat pemanfaatan sosial media selaku medium? Apakah dalam membuat postingan, yang bersangkutan sudah melewati proses pemikiran panjang? Apakah yang bersangkutan memahami pentingnya etika dalam menyampaikan pendapat? Atau apakah pemahaman etika sendiri di Indonesia kemudian sudah bergeser? Pertanyaan-pertanyaan tersebut di muka tentu menghadirkan pertanyaan yang jauh lebih filosofis: Apakah etika masih ditempatkan pada suatu tempat yang layak, yakni yang disebut Spinoza dalam karyanya, The Ethics, agar manusia hendaknya tidak terbawa oleh perasaannya.Benar jika dibilang Spinoza adalah seorang realism. Seorang Pantheis yang kemudian menyamakan Tuhan dengan alam itu sendiri. Tapi dialah yang mula-mula (jika boleh dikatakan) bersama Immanuel Ka…","author":[{"dropping-particle":"","family":"Azis","given":"Muhammad Rachdian","non-dropping-particle":"Al","parse-names":false,"suffix":""}],"container-title":"Jurnal Komunikasi","id":"ITEM-1","issue":"2","issued":{"date-parts":[["2021","9","29"]]},"page":"117-122","title":"Dialektika Hegel (Tesis-Antitesis-Sintesis) Dalam Etika Dan Filsafat Berkomunikasi Era Kontemporer","type":"article-journal","volume":"12"},"uris":["http://www.mendeley.com/documents/?uuid=a00182f8-7ca8-47e2-9897-66e5a012e3f5"]}],"mendeley":{"formattedCitation":"Muhammad Rachdian Al Azis, “Dialektika Hegel (Tesis-Antitesis-Sintesis) Dalam Etika Dan Filsafat Berkomunikasi Era Kontemporer,” &lt;i&gt;Jurnal Komunikasi&lt;/i&gt; 12, no. 2 (September 29, 2021): 117–22, https://doi.org/10.31294/jkom.v12i2.10472.","plainTextFormattedCitation":"Muhammad Rachdian Al Azis, “Dialektika Hegel (Tesis-Antitesis-Sintesis) Dalam Etika Dan Filsafat Berkomunikasi Era Kontemporer,” Jurnal Komunikasi 12, no. 2 (September 29, 2021): 117–22, https://doi.org/10.31294/jkom.v12i2.10472.","previouslyFormattedCitation":"Muhammad Rachdian Al Azis, “Dialektika Hegel (Tesis-Antitesis-Sintesis) Dalam Etika Dan Filsafat Berkomunikasi Era Kontemporer,” &lt;i&gt;Jurnal Komunikasi&lt;/i&gt; 12, no. 2 (September 29, 2021): 117–22, https://doi.org/10.31294/jkom.v12i2.10472."},"properties":{"noteIndex":48},"schema":"https://github.com/citation-style-language/schema/raw/master/csl-citation.json"}</w:instrText>
      </w:r>
      <w:r w:rsidR="00071F8A" w:rsidRPr="00D01A5E">
        <w:rPr>
          <w:rFonts w:ascii="Garamond" w:hAnsi="Garamond"/>
        </w:rPr>
        <w:fldChar w:fldCharType="separate"/>
      </w:r>
      <w:r w:rsidRPr="00D01A5E">
        <w:rPr>
          <w:rFonts w:ascii="Garamond" w:hAnsi="Garamond"/>
          <w:noProof/>
        </w:rPr>
        <w:t xml:space="preserve">Muhammad Rachdian Al Azis, “Dialektika Hegel (Tesis-Antitesis-Sintesis) Dalam Etika Dan Filsafat Berkomunikasi Era Kontemporer,” </w:t>
      </w:r>
      <w:r w:rsidRPr="00D01A5E">
        <w:rPr>
          <w:rFonts w:ascii="Garamond" w:hAnsi="Garamond"/>
          <w:i/>
          <w:noProof/>
        </w:rPr>
        <w:t>Jurnal Komunikasi</w:t>
      </w:r>
      <w:r w:rsidRPr="00D01A5E">
        <w:rPr>
          <w:rFonts w:ascii="Garamond" w:hAnsi="Garamond"/>
          <w:noProof/>
        </w:rPr>
        <w:t xml:space="preserve"> 12, no. 2 (September 29, 2021): 117–22, https://doi.org/10.31294/jkom.v12i2.10472.</w:t>
      </w:r>
      <w:r w:rsidR="00071F8A" w:rsidRPr="00D01A5E">
        <w:rPr>
          <w:rFonts w:ascii="Garamond" w:hAnsi="Garamond"/>
        </w:rPr>
        <w:fldChar w:fldCharType="end"/>
      </w:r>
    </w:p>
  </w:footnote>
  <w:footnote w:id="50">
    <w:p w:rsidR="0063112B" w:rsidRPr="00D01A5E" w:rsidRDefault="0063112B" w:rsidP="00D01A5E">
      <w:pPr>
        <w:pStyle w:val="FootnoteText"/>
        <w:ind w:firstLine="851"/>
        <w:jc w:val="both"/>
        <w:rPr>
          <w:rFonts w:ascii="Garamond" w:hAnsi="Garamond"/>
          <w:lang w:val="en-US"/>
        </w:rPr>
      </w:pPr>
      <w:r w:rsidRPr="00D01A5E">
        <w:rPr>
          <w:rStyle w:val="FootnoteReference"/>
          <w:rFonts w:ascii="Garamond" w:hAnsi="Garamond"/>
        </w:rPr>
        <w:footnoteRef/>
      </w:r>
      <w:r w:rsidRPr="00D01A5E">
        <w:rPr>
          <w:rFonts w:ascii="Garamond" w:hAnsi="Garamond"/>
        </w:rPr>
        <w:t xml:space="preserve"> </w:t>
      </w:r>
      <w:r w:rsidR="00071F8A" w:rsidRPr="00D01A5E">
        <w:rPr>
          <w:rFonts w:ascii="Garamond" w:hAnsi="Garamond"/>
        </w:rPr>
        <w:fldChar w:fldCharType="begin" w:fldLock="1"/>
      </w:r>
      <w:r w:rsidR="005964BC" w:rsidRPr="00D01A5E">
        <w:rPr>
          <w:rFonts w:ascii="Garamond" w:hAnsi="Garamond"/>
        </w:rPr>
        <w:instrText>ADDIN CSL_CITATION {"citationItems":[{"id":"ITEM-1","itemData":{"DOI":"10.31385/jl.v17i2.150.177-202","ISSN":"2503-4316","abstract":"Abstract This text describes the connection between the social sciences and contextual theology. The social sciences investigate the way people relate in society via various institutions and structures, which facilitate relationships in the economic, cultural and political spheres.The social sciences also investigate the way human beings relate to nature for two reasons, namely to defend themselves against the power of nature, and also to enable them to benefit from nature. Systematic theology studies the relationship between God and humanity in light of revelation and faith. Contextual theology investigates to what extent human institutions and structures, interpersonal relationships and the relationship between humanity and nature, become a help or a hindrance to expressing faith in the Lord, and to listening to what is said by God in God’s revelation to humankind. Keywords: Social Sciences, Contextual Theology, Society, People, Institution, Humanity, Relationship, Lord, Structures. Abstrak: Tulisan ini bertujuan untuk mendeskripsikan hubungan antara ilmu-ilmu sosial dan teologi kontekstual. Ilmu-ilmu sosial menyelidiki hubungan manusia dengan manusia dalam masyarakat melalui berbagai institusi dan struktur yang memungkinkan dan memudahkan hubungan itu dalam ekonomi, kebudayaan, dan politik. Ilmu-ilmu sosial juga meneliti hubungan manusia dengan alam dalam kaitannya dengan dua tujuan, yaitu mempertahankan diri terhadap kekuatan alam, dan memanfaatkan alam untuk keperluan hidupnya. Di sini teknologi dan ekonomi memainkan peranan yang menentukan. Teologi sistematik meneliti berbagai aspek relasi Tuhan dengan manusia melalui wahyu serta relasi manusia dengan Tuhan melalui iman. Teologi kontekstual meneliti sejauh mana institusi dan struktur yang dibangun manusia, baik dalam relasi antar-manusia maupun dalam relasi manusia dan alam, menjadi fasilitas atau hambatan baginya dalam menyatakan iman kepada Tuhan, dan dalam mendengarkan apa yang disampaikan Tuhan dalam wahyu-Nya kepada manusia. Kata kunci: Ilmu Sosial, Teologi Kontekstual, Masyarakat, Manusia, Institusi, Kemanusiaan, Hubungan, Tuhan, Struktur","author":[{"dropping-particle":"","family":"Kleden","given":"Ignas","non-dropping-particle":"","parse-names":false,"suffix":""}],"container-title":"Jurnal Ledalero","id":"ITEM-1","issue":"2","issued":{"date-parts":[["2018","12","2"]]},"page":"177","title":"Social sciences and contextual theology","type":"article-journal","volume":"17"},"uris":["http://www.mendeley.com/documents/?uuid=ed77c97d-2403-4957-8d47-02efd4e7b0c8"]}],"mendeley":{"formattedCitation":"Ignas Kleden, “Social Sciences and Contextual Theology,” &lt;i&gt;Jurnal Ledalero&lt;/i&gt; 17, no. 2 (December 2, 2018): 177, https://doi.org/10.31385/jl.v17i2.150.177-202.","plainTextFormattedCitation":"Ignas Kleden, “Social Sciences and Contextual Theology,” Jurnal Ledalero 17, no. 2 (December 2, 2018): 177, https://doi.org/10.31385/jl.v17i2.150.177-202.","previouslyFormattedCitation":"Ignas Kleden, “Social Sciences and Contextual Theology,” &lt;i&gt;Jurnal Ledalero&lt;/i&gt; 17, no. 2 (December 2, 2018): 177, https://doi.org/10.31385/jl.v17i2.150.177-202."},"properties":{"noteIndex":49},"schema":"https://github.com/citation-style-language/schema/raw/master/csl-citation.json"}</w:instrText>
      </w:r>
      <w:r w:rsidR="00071F8A" w:rsidRPr="00D01A5E">
        <w:rPr>
          <w:rFonts w:ascii="Garamond" w:hAnsi="Garamond"/>
        </w:rPr>
        <w:fldChar w:fldCharType="separate"/>
      </w:r>
      <w:r w:rsidRPr="00D01A5E">
        <w:rPr>
          <w:rFonts w:ascii="Garamond" w:hAnsi="Garamond"/>
          <w:noProof/>
        </w:rPr>
        <w:t xml:space="preserve">Ignas Kleden, “Social Sciences and Contextual Theology,” </w:t>
      </w:r>
      <w:r w:rsidRPr="00D01A5E">
        <w:rPr>
          <w:rFonts w:ascii="Garamond" w:hAnsi="Garamond"/>
          <w:i/>
          <w:noProof/>
        </w:rPr>
        <w:t>Jurnal Ledalero</w:t>
      </w:r>
      <w:r w:rsidRPr="00D01A5E">
        <w:rPr>
          <w:rFonts w:ascii="Garamond" w:hAnsi="Garamond"/>
          <w:noProof/>
        </w:rPr>
        <w:t xml:space="preserve"> 17, no. 2 (December 2, 2018): 177, https://doi.org/10.31385/jl.v17i2.150.177-202.</w:t>
      </w:r>
      <w:r w:rsidR="00071F8A" w:rsidRPr="00D01A5E">
        <w:rPr>
          <w:rFonts w:ascii="Garamond" w:hAnsi="Garamond"/>
        </w:rPr>
        <w:fldChar w:fldCharType="end"/>
      </w:r>
    </w:p>
  </w:footnote>
  <w:footnote w:id="51">
    <w:p w:rsidR="005964BC" w:rsidRPr="00D01A5E" w:rsidRDefault="005964BC" w:rsidP="00D01A5E">
      <w:pPr>
        <w:pStyle w:val="FootnoteText"/>
        <w:ind w:firstLine="851"/>
        <w:jc w:val="both"/>
        <w:rPr>
          <w:rFonts w:ascii="Garamond" w:hAnsi="Garamond"/>
          <w:lang w:val="en-US"/>
        </w:rPr>
      </w:pPr>
      <w:r w:rsidRPr="00D01A5E">
        <w:rPr>
          <w:rStyle w:val="FootnoteReference"/>
          <w:rFonts w:ascii="Garamond" w:hAnsi="Garamond"/>
        </w:rPr>
        <w:footnoteRef/>
      </w:r>
      <w:r w:rsidRPr="00D01A5E">
        <w:rPr>
          <w:rFonts w:ascii="Garamond" w:hAnsi="Garamond"/>
        </w:rPr>
        <w:t xml:space="preserve"> </w:t>
      </w:r>
      <w:r w:rsidR="00071F8A" w:rsidRPr="00D01A5E">
        <w:rPr>
          <w:rFonts w:ascii="Garamond" w:hAnsi="Garamond"/>
        </w:rPr>
        <w:fldChar w:fldCharType="begin" w:fldLock="1"/>
      </w:r>
      <w:r w:rsidRPr="00D01A5E">
        <w:rPr>
          <w:rFonts w:ascii="Garamond" w:hAnsi="Garamond"/>
        </w:rPr>
        <w:instrText>ADDIN CSL_CITATION {"citationItems":[{"id":"ITEM-1","itemData":{"DOI":"https://doi.org/10.55115/gentahredaya.v4i1.515","author":[{"dropping-particle":"","family":"Somawati","given":"Ayu Veronika","non-dropping-particle":"","parse-names":false,"suffix":""}],"container-title":"Genta Hredaya","id":"ITEM-1","issue":"1","issued":{"date-parts":[["2020"]]},"page":"31-40","title":"Filsafat Ketuhanan Menurut Plato Dalam Perspektif Hindu","type":"article-journal","volume":"4"},"uris":["http://www.mendeley.com/documents/?uuid=7e755f7a-9a01-4cb6-948f-d6e6f06f9354"]}],"mendeley":{"formattedCitation":"Ayu Veronika Somawati, “Filsafat Ketuhanan Menurut Plato Dalam Perspektif Hindu,” &lt;i&gt;Genta Hredaya&lt;/i&gt; 4, no. 1 (2020): 31–40, https://doi.org/https://doi.org/10.55115/gentahredaya.v4i1.515.","plainTextFormattedCitation":"Ayu Veronika Somawati, “Filsafat Ketuhanan Menurut Plato Dalam Perspektif Hindu,” Genta Hredaya 4, no. 1 (2020): 31–40, https://doi.org/https://doi.org/10.55115/gentahredaya.v4i1.515.","previouslyFormattedCitation":"Ayu Veronika Somawati, “Filsafat Ketuhanan Menurut Plato Dalam Perspektif Hindu,” &lt;i&gt;Genta Hredaya&lt;/i&gt; 4, no. 1 (2020): 31–40, https://doi.org/https://doi.org/10.55115/gentahredaya.v4i1.515."},"properties":{"noteIndex":50},"schema":"https://github.com/citation-style-language/schema/raw/master/csl-citation.json"}</w:instrText>
      </w:r>
      <w:r w:rsidR="00071F8A" w:rsidRPr="00D01A5E">
        <w:rPr>
          <w:rFonts w:ascii="Garamond" w:hAnsi="Garamond"/>
        </w:rPr>
        <w:fldChar w:fldCharType="separate"/>
      </w:r>
      <w:r w:rsidRPr="00D01A5E">
        <w:rPr>
          <w:rFonts w:ascii="Garamond" w:hAnsi="Garamond"/>
          <w:noProof/>
        </w:rPr>
        <w:t xml:space="preserve">Ayu Veronika Somawati, “Filsafat Ketuhanan Menurut Plato Dalam Perspektif Hindu,” </w:t>
      </w:r>
      <w:r w:rsidRPr="00D01A5E">
        <w:rPr>
          <w:rFonts w:ascii="Garamond" w:hAnsi="Garamond"/>
          <w:i/>
          <w:noProof/>
        </w:rPr>
        <w:t>Genta Hredaya</w:t>
      </w:r>
      <w:r w:rsidRPr="00D01A5E">
        <w:rPr>
          <w:rFonts w:ascii="Garamond" w:hAnsi="Garamond"/>
          <w:noProof/>
        </w:rPr>
        <w:t xml:space="preserve"> 4, no. 1 (2020): 31–40, https://doi.org/https://doi.org/10.55115/gentahredaya.v4i1.515.</w:t>
      </w:r>
      <w:r w:rsidR="00071F8A" w:rsidRPr="00D01A5E">
        <w:rPr>
          <w:rFonts w:ascii="Garamond" w:hAnsi="Garamond"/>
        </w:rPr>
        <w:fldChar w:fldCharType="end"/>
      </w:r>
    </w:p>
  </w:footnote>
  <w:footnote w:id="52">
    <w:p w:rsidR="005964BC" w:rsidRPr="00D01A5E" w:rsidRDefault="005964BC" w:rsidP="00D01A5E">
      <w:pPr>
        <w:pStyle w:val="FootnoteText"/>
        <w:ind w:firstLine="851"/>
        <w:jc w:val="both"/>
        <w:rPr>
          <w:rFonts w:ascii="Garamond" w:hAnsi="Garamond"/>
          <w:lang w:val="en-US"/>
        </w:rPr>
      </w:pPr>
      <w:r w:rsidRPr="00D01A5E">
        <w:rPr>
          <w:rStyle w:val="FootnoteReference"/>
          <w:rFonts w:ascii="Garamond" w:hAnsi="Garamond"/>
        </w:rPr>
        <w:footnoteRef/>
      </w:r>
      <w:r w:rsidRPr="00D01A5E">
        <w:rPr>
          <w:rFonts w:ascii="Garamond" w:hAnsi="Garamond"/>
        </w:rPr>
        <w:t xml:space="preserve"> </w:t>
      </w:r>
      <w:r w:rsidR="00071F8A" w:rsidRPr="00D01A5E">
        <w:rPr>
          <w:rFonts w:ascii="Garamond" w:hAnsi="Garamond"/>
        </w:rPr>
        <w:fldChar w:fldCharType="begin" w:fldLock="1"/>
      </w:r>
      <w:r w:rsidRPr="00D01A5E">
        <w:rPr>
          <w:rFonts w:ascii="Garamond" w:hAnsi="Garamond"/>
        </w:rPr>
        <w:instrText>ADDIN CSL_CITATION {"citationItems":[{"id":"ITEM-1","itemData":{"DOI":"https://doi.org/10.18592/jiu.v8i1.1369","author":[{"dropping-particle":"","family":"Dahlan","given":"Mohammad","non-dropping-particle":"","parse-names":false,"suffix":""}],"container-title":"Jurnal Ilmiah Ilmu Ushuluddin","id":"ITEM-1","issue":"1","issued":{"date-parts":[["2009"]]},"page":"37-48","title":"Pemikiran Filsafat Moral Immanuel Kant (Deontologi, Imperatif Kategoris dan Postulat Rasio Praktis)","type":"article-journal","volume":"8"},"uris":["http://www.mendeley.com/documents/?uuid=d8e3bafe-bfd2-4fa5-b20b-992d1df7b751"]}],"mendeley":{"formattedCitation":"Mohammad Dahlan, “Pemikiran Filsafat Moral Immanuel Kant (Deontologi, Imperatif Kategoris Dan Postulat Rasio Praktis),” &lt;i&gt;Jurnal Ilmiah Ilmu Ushuluddin&lt;/i&gt; 8, no. 1 (2009): 37–48, https://doi.org/https://doi.org/10.18592/jiu.v8i1.1369.","plainTextFormattedCitation":"Mohammad Dahlan, “Pemikiran Filsafat Moral Immanuel Kant (Deontologi, Imperatif Kategoris Dan Postulat Rasio Praktis),” Jurnal Ilmiah Ilmu Ushuluddin 8, no. 1 (2009): 37–48, https://doi.org/https://doi.org/10.18592/jiu.v8i1.1369.","previouslyFormattedCitation":"Mohammad Dahlan, “Pemikiran Filsafat Moral Immanuel Kant (Deontologi, Imperatif Kategoris Dan Postulat Rasio Praktis),” &lt;i&gt;Jurnal Ilmiah Ilmu Ushuluddin&lt;/i&gt; 8, no. 1 (2009): 37–48, https://doi.org/https://doi.org/10.18592/jiu.v8i1.1369."},"properties":{"noteIndex":51},"schema":"https://github.com/citation-style-language/schema/raw/master/csl-citation.json"}</w:instrText>
      </w:r>
      <w:r w:rsidR="00071F8A" w:rsidRPr="00D01A5E">
        <w:rPr>
          <w:rFonts w:ascii="Garamond" w:hAnsi="Garamond"/>
        </w:rPr>
        <w:fldChar w:fldCharType="separate"/>
      </w:r>
      <w:r w:rsidRPr="00D01A5E">
        <w:rPr>
          <w:rFonts w:ascii="Garamond" w:hAnsi="Garamond"/>
          <w:noProof/>
        </w:rPr>
        <w:t xml:space="preserve">Mohammad Dahlan, “Pemikiran Filsafat Moral Immanuel Kant (Deontologi, Imperatif Kategoris Dan Postulat Rasio Praktis),” </w:t>
      </w:r>
      <w:r w:rsidRPr="00D01A5E">
        <w:rPr>
          <w:rFonts w:ascii="Garamond" w:hAnsi="Garamond"/>
          <w:i/>
          <w:noProof/>
        </w:rPr>
        <w:t>Jurnal Ilmiah Ilmu Ushuluddin</w:t>
      </w:r>
      <w:r w:rsidRPr="00D01A5E">
        <w:rPr>
          <w:rFonts w:ascii="Garamond" w:hAnsi="Garamond"/>
          <w:noProof/>
        </w:rPr>
        <w:t xml:space="preserve"> 8, no. 1 (2009): 37–48, https://doi.org/https://doi.org/10.18592/jiu.v8i1.1369.</w:t>
      </w:r>
      <w:r w:rsidR="00071F8A" w:rsidRPr="00D01A5E">
        <w:rPr>
          <w:rFonts w:ascii="Garamond" w:hAnsi="Garamond"/>
        </w:rPr>
        <w:fldChar w:fldCharType="end"/>
      </w:r>
    </w:p>
  </w:footnote>
  <w:footnote w:id="53">
    <w:p w:rsidR="005964BC" w:rsidRPr="00D01A5E" w:rsidRDefault="005964BC" w:rsidP="00D01A5E">
      <w:pPr>
        <w:pStyle w:val="FootnoteText"/>
        <w:ind w:firstLine="851"/>
        <w:jc w:val="both"/>
        <w:rPr>
          <w:rFonts w:ascii="Garamond" w:hAnsi="Garamond"/>
          <w:lang w:val="en-US"/>
        </w:rPr>
      </w:pPr>
      <w:r w:rsidRPr="00D01A5E">
        <w:rPr>
          <w:rStyle w:val="FootnoteReference"/>
          <w:rFonts w:ascii="Garamond" w:hAnsi="Garamond"/>
        </w:rPr>
        <w:footnoteRef/>
      </w:r>
      <w:r w:rsidRPr="00D01A5E">
        <w:rPr>
          <w:rFonts w:ascii="Garamond" w:hAnsi="Garamond"/>
        </w:rPr>
        <w:t xml:space="preserve"> </w:t>
      </w:r>
      <w:r w:rsidR="00071F8A" w:rsidRPr="00D01A5E">
        <w:rPr>
          <w:rFonts w:ascii="Garamond" w:hAnsi="Garamond"/>
        </w:rPr>
        <w:fldChar w:fldCharType="begin" w:fldLock="1"/>
      </w:r>
      <w:r w:rsidR="00C806E8" w:rsidRPr="00D01A5E">
        <w:rPr>
          <w:rFonts w:ascii="Garamond" w:hAnsi="Garamond"/>
        </w:rPr>
        <w:instrText>ADDIN CSL_CITATION {"citationItems":[{"id":"ITEM-1","itemData":{"author":[{"dropping-particle":"","family":"Choir","given":"Tholhatul","non-dropping-particle":"","parse-names":false,"suffix":""},{"dropping-particle":"","family":"Fanani","given":"Ahwan","non-dropping-particle":"","parse-names":false,"suffix":""}],"id":"ITEM-1","issued":{"date-parts":[["2015"]]},"publisher":"Pustaka Pelajar","publisher-place":"Yogyakarta","title":"Islam dalam Berbagai Pembacaan Kontemporer","type":"book"},"uris":["http://www.mendeley.com/documents/?uuid=a01563fb-e961-4294-b6d7-4bc8e235a2c8"]}],"mendeley":{"formattedCitation":"Tholhatul Choir and Ahwan Fanani, &lt;i&gt;Islam Dalam Berbagai Pembacaan Kontemporer&lt;/i&gt; (Yogyakarta: Pustaka Pelajar, 2015).","plainTextFormattedCitation":"Tholhatul Choir and Ahwan Fanani, Islam Dalam Berbagai Pembacaan Kontemporer (Yogyakarta: Pustaka Pelajar, 2015).","previouslyFormattedCitation":"Tholhatul Choir and Ahwan Fanani, &lt;i&gt;Islam Dalam Berbagai Pembacaan Kontemporer&lt;/i&gt; (Yogyakarta: Pustaka Pelajar, 2015)."},"properties":{"noteIndex":52},"schema":"https://github.com/citation-style-language/schema/raw/master/csl-citation.json"}</w:instrText>
      </w:r>
      <w:r w:rsidR="00071F8A" w:rsidRPr="00D01A5E">
        <w:rPr>
          <w:rFonts w:ascii="Garamond" w:hAnsi="Garamond"/>
        </w:rPr>
        <w:fldChar w:fldCharType="separate"/>
      </w:r>
      <w:r w:rsidRPr="00D01A5E">
        <w:rPr>
          <w:rFonts w:ascii="Garamond" w:hAnsi="Garamond"/>
          <w:noProof/>
        </w:rPr>
        <w:t xml:space="preserve">Tholhatul Choir and Ahwan Fanani, </w:t>
      </w:r>
      <w:r w:rsidRPr="00D01A5E">
        <w:rPr>
          <w:rFonts w:ascii="Garamond" w:hAnsi="Garamond"/>
          <w:i/>
          <w:noProof/>
        </w:rPr>
        <w:t>Islam Dalam Berbagai Pembacaan Kontemporer</w:t>
      </w:r>
      <w:r w:rsidRPr="00D01A5E">
        <w:rPr>
          <w:rFonts w:ascii="Garamond" w:hAnsi="Garamond"/>
          <w:noProof/>
        </w:rPr>
        <w:t xml:space="preserve"> (Yogyakarta: Pustaka Pelajar, 2015).</w:t>
      </w:r>
      <w:r w:rsidR="00071F8A" w:rsidRPr="00D01A5E">
        <w:rPr>
          <w:rFonts w:ascii="Garamond" w:hAnsi="Garamond"/>
        </w:rPr>
        <w:fldChar w:fldCharType="end"/>
      </w:r>
    </w:p>
  </w:footnote>
  <w:footnote w:id="54">
    <w:p w:rsidR="0035367B" w:rsidRPr="00D01A5E" w:rsidRDefault="0035367B" w:rsidP="00D01A5E">
      <w:pPr>
        <w:pStyle w:val="FootnoteText"/>
        <w:ind w:firstLine="851"/>
        <w:jc w:val="both"/>
        <w:rPr>
          <w:rFonts w:ascii="Garamond" w:hAnsi="Garamond"/>
          <w:lang w:val="en-US"/>
        </w:rPr>
      </w:pPr>
      <w:r w:rsidRPr="00D01A5E">
        <w:rPr>
          <w:rStyle w:val="FootnoteReference"/>
          <w:rFonts w:ascii="Garamond" w:hAnsi="Garamond"/>
        </w:rPr>
        <w:footnoteRef/>
      </w:r>
      <w:r w:rsidRPr="00D01A5E">
        <w:rPr>
          <w:rFonts w:ascii="Garamond" w:hAnsi="Garamond"/>
        </w:rPr>
        <w:t xml:space="preserve"> </w:t>
      </w:r>
      <w:r w:rsidR="00071F8A" w:rsidRPr="00D01A5E">
        <w:rPr>
          <w:rFonts w:ascii="Garamond" w:hAnsi="Garamond"/>
        </w:rPr>
        <w:fldChar w:fldCharType="begin" w:fldLock="1"/>
      </w:r>
      <w:r w:rsidRPr="00D01A5E">
        <w:rPr>
          <w:rFonts w:ascii="Garamond" w:hAnsi="Garamond"/>
        </w:rPr>
        <w:instrText>ADDIN CSL_CITATION {"citationItems":[{"id":"ITEM-1","itemData":{"DOI":"10.21111/tsaqafah.v10i1.64","ISSN":"2460-0008","author":[{"dropping-particle":"","family":"Soleh","given":"A. Khudori","non-dropping-particle":"","parse-names":false,"suffix":""}],"container-title":"TSAQAFAH","id":"ITEM-1","issue":"1","issued":{"date-parts":[["2014","5","31"]]},"page":"63","title":"Mencermati Sejarah Perkembangan Filsafat Islam","type":"article-journal","volume":"10"},"uris":["http://www.mendeley.com/documents/?uuid=01c86bb5-a867-402d-9e74-568e285fc317"]}],"mendeley":{"formattedCitation":"Soleh, “Mencermati Sejarah Perkembangan Filsafat Islam.”","plainTextFormattedCitation":"Soleh, “Mencermati Sejarah Perkembangan Filsafat Islam.”","previouslyFormattedCitation":"Soleh, “Mencermati Sejarah Perkembangan Filsafat Islam.”"},"properties":{"noteIndex":53},"schema":"https://github.com/citation-style-language/schema/raw/master/csl-citation.json"}</w:instrText>
      </w:r>
      <w:r w:rsidR="00071F8A" w:rsidRPr="00D01A5E">
        <w:rPr>
          <w:rFonts w:ascii="Garamond" w:hAnsi="Garamond"/>
        </w:rPr>
        <w:fldChar w:fldCharType="separate"/>
      </w:r>
      <w:r w:rsidRPr="00D01A5E">
        <w:rPr>
          <w:rFonts w:ascii="Garamond" w:hAnsi="Garamond"/>
          <w:noProof/>
        </w:rPr>
        <w:t>Soleh, “Mencermati Sejarah Perkembangan Filsafat Islam.”</w:t>
      </w:r>
      <w:r w:rsidR="00071F8A" w:rsidRPr="00D01A5E">
        <w:rPr>
          <w:rFonts w:ascii="Garamond" w:hAnsi="Garamond"/>
        </w:rPr>
        <w:fldChar w:fldCharType="end"/>
      </w:r>
    </w:p>
  </w:footnote>
  <w:footnote w:id="55">
    <w:p w:rsidR="00C806E8" w:rsidRPr="00D01A5E" w:rsidRDefault="00C806E8" w:rsidP="00D01A5E">
      <w:pPr>
        <w:pStyle w:val="FootnoteText"/>
        <w:ind w:firstLine="851"/>
        <w:jc w:val="both"/>
        <w:rPr>
          <w:rFonts w:ascii="Garamond" w:hAnsi="Garamond"/>
          <w:lang w:val="en-US"/>
        </w:rPr>
      </w:pPr>
      <w:r w:rsidRPr="00D01A5E">
        <w:rPr>
          <w:rStyle w:val="FootnoteReference"/>
          <w:rFonts w:ascii="Garamond" w:hAnsi="Garamond"/>
        </w:rPr>
        <w:footnoteRef/>
      </w:r>
      <w:r w:rsidRPr="00D01A5E">
        <w:rPr>
          <w:rFonts w:ascii="Garamond" w:hAnsi="Garamond"/>
        </w:rPr>
        <w:t xml:space="preserve"> </w:t>
      </w:r>
      <w:r w:rsidR="00071F8A" w:rsidRPr="00D01A5E">
        <w:rPr>
          <w:rFonts w:ascii="Garamond" w:hAnsi="Garamond"/>
        </w:rPr>
        <w:fldChar w:fldCharType="begin" w:fldLock="1"/>
      </w:r>
      <w:r w:rsidR="0035367B" w:rsidRPr="00D01A5E">
        <w:rPr>
          <w:rFonts w:ascii="Garamond" w:hAnsi="Garamond"/>
        </w:rPr>
        <w:instrText xml:space="preserve">ADDIN CSL_CITATION {"citationItems":[{"id":"ITEM-1","itemData":{"DOI":"10.61595/edukais.2024.8.1.23-41","ISSN":"2549-9122","abstract":"Positivism as a philosophical school that developed rapidly in the 19th century has brought significant changes in the way we view science, especially in approaches to social phenomena. This article aims to analyze the development of positivism and its influence in Islamic social studies, by highlighting how this objective and empirical scientific approach interacts with the Islamic intellectual tradition. This study uses a qualitative method with a literature study approach, which includes a review of various main sources of positivism philosophy and classical and contemporary texts in Islamic social studies. Through an in-depth analysis of the literature, this article finds that although positivism has made an important contribution in introducing empirical methods into social studies, its application in an Islamic context often creates tensions, especially in relation to the debate between empirically based science and the more spiritual traditions of Islam. normative. This article concludes that although positivism can contribute to a more comprehensive understanding of social phenomena in Muslim societies, it is important to consider Islamic normative values </w:instrText>
      </w:r>
      <w:r w:rsidR="0035367B" w:rsidRPr="00D01A5E">
        <w:rPr>
          <w:rFonts w:ascii="Times New Roman" w:hAnsi="Times New Roman" w:cs="Times New Roman"/>
        </w:rPr>
        <w:instrText>​​</w:instrText>
      </w:r>
      <w:r w:rsidR="0035367B" w:rsidRPr="00D01A5E">
        <w:rPr>
          <w:rFonts w:ascii="Garamond" w:hAnsi="Garamond"/>
        </w:rPr>
        <w:instrText>to avoid neglecting spiritual and ethical aspects in social analysis.","author":[{"dropping-particle":"","family":"Abdullah","given":"Faisal","non-dropping-particle":"","parse-names":false,"suffix":""},{"dropping-particle":"","family":"Hosaini","given":"Hosaini","non-dropping-particle":"","parse-names":false,"suffix":""}],"container-title":"Edukais : Jurnal Pemikiran Keislaman","id":"ITEM-1","issue":"1","issued":{"date-parts":[["2024","7","21"]]},"page":"23-41","title":"Positivisme Sebagai Era Baru Filsafat dan Pengaruhnya dalam Kajian Sosial Islam","type":"article-journal","volume":"8"},"uris":["http://www.mendeley.com/documents/?uuid=6df95403-16b4-4b3c-9b02-323c28045ee0"]}],"mendeley":{"formattedCitation":"Faisal Abdullah and Hosaini Hosaini, “Positivisme Sebagai Era Baru Filsafat Dan Pengaruhnya Dalam Kajian Sosial Islam,” &lt;i&gt;Edukais</w:instrText>
      </w:r>
      <w:r w:rsidR="0035367B" w:rsidRPr="00D01A5E">
        <w:rPr>
          <w:rFonts w:ascii="Times New Roman" w:hAnsi="Times New Roman" w:cs="Times New Roman"/>
        </w:rPr>
        <w:instrText> </w:instrText>
      </w:r>
      <w:r w:rsidR="0035367B" w:rsidRPr="00D01A5E">
        <w:rPr>
          <w:rFonts w:ascii="Garamond" w:hAnsi="Garamond"/>
        </w:rPr>
        <w:instrText>: Jurnal Pemikiran Keislaman&lt;/i&gt; 8, no. 1 (July 21, 2024): 23</w:instrText>
      </w:r>
      <w:r w:rsidR="0035367B" w:rsidRPr="00D01A5E">
        <w:rPr>
          <w:rFonts w:ascii="Garamond" w:hAnsi="Garamond" w:cs="Garamond"/>
        </w:rPr>
        <w:instrText>–</w:instrText>
      </w:r>
      <w:r w:rsidR="0035367B" w:rsidRPr="00D01A5E">
        <w:rPr>
          <w:rFonts w:ascii="Garamond" w:hAnsi="Garamond"/>
        </w:rPr>
        <w:instrText xml:space="preserve">41, https://doi.org/10.61595/edukais.2024.8.1.23-41.","plainTextFormattedCitation":"Faisal Abdullah and Hosaini Hosaini, </w:instrText>
      </w:r>
      <w:r w:rsidR="0035367B" w:rsidRPr="00D01A5E">
        <w:rPr>
          <w:rFonts w:ascii="Garamond" w:hAnsi="Garamond" w:cs="Garamond"/>
        </w:rPr>
        <w:instrText>“</w:instrText>
      </w:r>
      <w:r w:rsidR="0035367B" w:rsidRPr="00D01A5E">
        <w:rPr>
          <w:rFonts w:ascii="Garamond" w:hAnsi="Garamond"/>
        </w:rPr>
        <w:instrText>Positivisme Sebagai Era Baru Filsafat Dan Pengaruhnya Dalam Kajian Sosial Islam,</w:instrText>
      </w:r>
      <w:r w:rsidR="0035367B" w:rsidRPr="00D01A5E">
        <w:rPr>
          <w:rFonts w:ascii="Garamond" w:hAnsi="Garamond" w:cs="Garamond"/>
        </w:rPr>
        <w:instrText>”</w:instrText>
      </w:r>
      <w:r w:rsidR="0035367B" w:rsidRPr="00D01A5E">
        <w:rPr>
          <w:rFonts w:ascii="Garamond" w:hAnsi="Garamond"/>
        </w:rPr>
        <w:instrText xml:space="preserve"> Edukais</w:instrText>
      </w:r>
      <w:r w:rsidR="0035367B" w:rsidRPr="00D01A5E">
        <w:rPr>
          <w:rFonts w:ascii="Times New Roman" w:hAnsi="Times New Roman" w:cs="Times New Roman"/>
        </w:rPr>
        <w:instrText> </w:instrText>
      </w:r>
      <w:r w:rsidR="0035367B" w:rsidRPr="00D01A5E">
        <w:rPr>
          <w:rFonts w:ascii="Garamond" w:hAnsi="Garamond"/>
        </w:rPr>
        <w:instrText>: Jurnal Pemikiran Keislaman 8, no. 1 (July 21, 2024): 23</w:instrText>
      </w:r>
      <w:r w:rsidR="0035367B" w:rsidRPr="00D01A5E">
        <w:rPr>
          <w:rFonts w:ascii="Garamond" w:hAnsi="Garamond" w:cs="Garamond"/>
        </w:rPr>
        <w:instrText>–</w:instrText>
      </w:r>
      <w:r w:rsidR="0035367B" w:rsidRPr="00D01A5E">
        <w:rPr>
          <w:rFonts w:ascii="Garamond" w:hAnsi="Garamond"/>
        </w:rPr>
        <w:instrText>41, https://doi.org/10.61595/edukais.2024.8.1.23-41.","previouslyFormattedCitation":"Faisal Abdullah and Hosaini Hosaini, “Positivisme Sebagai Era Baru Filsafat Dan Pengaruhnya Dalam Kajian Sosial Islam,” &lt;i&gt;Edukais</w:instrText>
      </w:r>
      <w:r w:rsidR="0035367B" w:rsidRPr="00D01A5E">
        <w:rPr>
          <w:rFonts w:ascii="Times New Roman" w:hAnsi="Times New Roman" w:cs="Times New Roman"/>
        </w:rPr>
        <w:instrText> </w:instrText>
      </w:r>
      <w:r w:rsidR="0035367B" w:rsidRPr="00D01A5E">
        <w:rPr>
          <w:rFonts w:ascii="Garamond" w:hAnsi="Garamond"/>
        </w:rPr>
        <w:instrText>: Jurnal Pemikiran Keislaman&lt;/i&gt; 8, no. 1 (July 21, 2024): 23</w:instrText>
      </w:r>
      <w:r w:rsidR="0035367B" w:rsidRPr="00D01A5E">
        <w:rPr>
          <w:rFonts w:ascii="Garamond" w:hAnsi="Garamond" w:cs="Garamond"/>
        </w:rPr>
        <w:instrText>–</w:instrText>
      </w:r>
      <w:r w:rsidR="0035367B" w:rsidRPr="00D01A5E">
        <w:rPr>
          <w:rFonts w:ascii="Garamond" w:hAnsi="Garamond"/>
        </w:rPr>
        <w:instrText>41, https://doi.org/10.61595/edukais.2024.8.1.23-41."},"properties":{"noteIndex":54},"schema":"https://github.com/citation-style-language/schema/raw/master/csl-citation.json"}</w:instrText>
      </w:r>
      <w:r w:rsidR="00071F8A" w:rsidRPr="00D01A5E">
        <w:rPr>
          <w:rFonts w:ascii="Garamond" w:hAnsi="Garamond"/>
        </w:rPr>
        <w:fldChar w:fldCharType="separate"/>
      </w:r>
      <w:r w:rsidRPr="00D01A5E">
        <w:rPr>
          <w:rFonts w:ascii="Garamond" w:hAnsi="Garamond"/>
          <w:noProof/>
        </w:rPr>
        <w:t xml:space="preserve">Faisal Abdullah and Hosaini Hosaini, “Positivisme Sebagai Era Baru Filsafat Dan Pengaruhnya Dalam Kajian Sosial Islam,” </w:t>
      </w:r>
      <w:r w:rsidRPr="00D01A5E">
        <w:rPr>
          <w:rFonts w:ascii="Garamond" w:hAnsi="Garamond"/>
          <w:i/>
          <w:noProof/>
        </w:rPr>
        <w:t>Edukais</w:t>
      </w:r>
      <w:r w:rsidRPr="00D01A5E">
        <w:rPr>
          <w:rFonts w:ascii="Times New Roman" w:hAnsi="Times New Roman" w:cs="Times New Roman"/>
          <w:i/>
          <w:noProof/>
        </w:rPr>
        <w:t> </w:t>
      </w:r>
      <w:r w:rsidRPr="00D01A5E">
        <w:rPr>
          <w:rFonts w:ascii="Garamond" w:hAnsi="Garamond"/>
          <w:i/>
          <w:noProof/>
        </w:rPr>
        <w:t>: Jurnal Pemikiran Keislaman</w:t>
      </w:r>
      <w:r w:rsidRPr="00D01A5E">
        <w:rPr>
          <w:rFonts w:ascii="Garamond" w:hAnsi="Garamond"/>
          <w:noProof/>
        </w:rPr>
        <w:t xml:space="preserve"> 8, no. 1 (July 21, 2024): 23–41, https://doi.org/10.61595/edukais.2024.8.1.23-41.</w:t>
      </w:r>
      <w:r w:rsidR="00071F8A" w:rsidRPr="00D01A5E">
        <w:rPr>
          <w:rFonts w:ascii="Garamond" w:hAnsi="Garamond"/>
        </w:rPr>
        <w:fldChar w:fldCharType="end"/>
      </w:r>
    </w:p>
  </w:footnote>
  <w:footnote w:id="56">
    <w:p w:rsidR="0035367B" w:rsidRPr="00D01A5E" w:rsidRDefault="0035367B" w:rsidP="00D01A5E">
      <w:pPr>
        <w:pStyle w:val="FootnoteText"/>
        <w:ind w:firstLine="851"/>
        <w:jc w:val="both"/>
        <w:rPr>
          <w:rFonts w:ascii="Garamond" w:hAnsi="Garamond"/>
          <w:lang w:val="en-US"/>
        </w:rPr>
      </w:pPr>
      <w:r w:rsidRPr="00D01A5E">
        <w:rPr>
          <w:rStyle w:val="FootnoteReference"/>
          <w:rFonts w:ascii="Garamond" w:hAnsi="Garamond"/>
        </w:rPr>
        <w:footnoteRef/>
      </w:r>
      <w:r w:rsidRPr="00D01A5E">
        <w:rPr>
          <w:rFonts w:ascii="Garamond" w:hAnsi="Garamond"/>
        </w:rPr>
        <w:t xml:space="preserve"> </w:t>
      </w:r>
      <w:r w:rsidR="00071F8A" w:rsidRPr="00D01A5E">
        <w:rPr>
          <w:rFonts w:ascii="Garamond" w:hAnsi="Garamond"/>
        </w:rPr>
        <w:fldChar w:fldCharType="begin" w:fldLock="1"/>
      </w:r>
      <w:r w:rsidRPr="00D01A5E">
        <w:rPr>
          <w:rFonts w:ascii="Garamond" w:hAnsi="Garamond"/>
        </w:rPr>
        <w:instrText>ADDIN CSL_CITATION {"citationItems":[{"id":"ITEM-1","itemData":{"DOI":"10.32939/islamika.v20i01.567","ISSN":"2502-7565","abstract":"Studi ini perlu menggambarkan sejarah filsafat Islam sebagai salah satu jalan komparasi antara filsafat Barat, sekaligus sebagai jawaban atas polemik sejarah perjalanan ilmu pengetahuan di dunia Islam, di satu sisi ada yang menganggap bahwa ilmu pengetahuan di dunia Islam pernah mengalami kemandegan sebagaimana yang terjadi di Barat, yang lazimnnya disebut sebagai abad pertengahan. Tudingan ini datang baik dari kalangan pemikir Islam sendiri, dan pemikir Barat, di lain sisi ada anggapan bahwa pengetahuan di dunia Islam tidak pernah redup hingga hari ini. Karenanya studi ini dianggap perlu untuk menyodorkan titik terang atas polemik yang terjadi melalui penelusuran sejarah perkembangan filsafat Islam.","author":[{"dropping-particle":"","family":"Salam","given":"Andi Muhammad Ikbal","non-dropping-particle":"","parse-names":false,"suffix":""}],"container-title":"Islamika : Jurnal Ilmu-Ilmu Keislaman","id":"ITEM-1","issue":"01","issued":{"date-parts":[["2020","8","6"]]},"page":"73-79","title":"Lanskap Corak Filsafat Islam","type":"article-journal","volume":"20"},"uris":["http://www.mendeley.com/documents/?uuid=178e419a-3436-498d-9468-67dfc064dce0"]}],"mendeley":{"formattedCitation":"Andi Muhammad Ikbal Salam, “Lanskap Corak Filsafat Islam,” &lt;i&gt;Islamika</w:instrText>
      </w:r>
      <w:r w:rsidRPr="00D01A5E">
        <w:rPr>
          <w:rFonts w:ascii="Times New Roman" w:hAnsi="Times New Roman" w:cs="Times New Roman"/>
        </w:rPr>
        <w:instrText> </w:instrText>
      </w:r>
      <w:r w:rsidRPr="00D01A5E">
        <w:rPr>
          <w:rFonts w:ascii="Garamond" w:hAnsi="Garamond"/>
        </w:rPr>
        <w:instrText>: Jurnal Ilmu-Ilmu Keislaman&lt;/i&gt; 20, no. 01 (August 6, 2020): 73</w:instrText>
      </w:r>
      <w:r w:rsidRPr="00D01A5E">
        <w:rPr>
          <w:rFonts w:ascii="Garamond" w:hAnsi="Garamond" w:cs="Garamond"/>
        </w:rPr>
        <w:instrText>–</w:instrText>
      </w:r>
      <w:r w:rsidRPr="00D01A5E">
        <w:rPr>
          <w:rFonts w:ascii="Garamond" w:hAnsi="Garamond"/>
        </w:rPr>
        <w:instrText>79, https://doi.org/10.32939/islamika.v20i01.567.","plainTextFormattedCitation":"Andi Muhammad Ikbal Salam, “Lanskap Corak Filsafat Islam,” Islamika</w:instrText>
      </w:r>
      <w:r w:rsidRPr="00D01A5E">
        <w:rPr>
          <w:rFonts w:ascii="Times New Roman" w:hAnsi="Times New Roman" w:cs="Times New Roman"/>
        </w:rPr>
        <w:instrText> </w:instrText>
      </w:r>
      <w:r w:rsidRPr="00D01A5E">
        <w:rPr>
          <w:rFonts w:ascii="Garamond" w:hAnsi="Garamond"/>
        </w:rPr>
        <w:instrText>: Jurnal Ilmu-Ilmu Keislaman 20, no. 01 (August 6, 2020): 73</w:instrText>
      </w:r>
      <w:r w:rsidRPr="00D01A5E">
        <w:rPr>
          <w:rFonts w:ascii="Garamond" w:hAnsi="Garamond" w:cs="Garamond"/>
        </w:rPr>
        <w:instrText>–</w:instrText>
      </w:r>
      <w:r w:rsidRPr="00D01A5E">
        <w:rPr>
          <w:rFonts w:ascii="Garamond" w:hAnsi="Garamond"/>
        </w:rPr>
        <w:instrText xml:space="preserve">79, https://doi.org/10.32939/islamika.v20i01.567.","previouslyFormattedCitation":"Andi Muhammad Ikbal Salam, </w:instrText>
      </w:r>
      <w:r w:rsidRPr="00D01A5E">
        <w:rPr>
          <w:rFonts w:ascii="Garamond" w:hAnsi="Garamond" w:cs="Garamond"/>
        </w:rPr>
        <w:instrText>“</w:instrText>
      </w:r>
      <w:r w:rsidRPr="00D01A5E">
        <w:rPr>
          <w:rFonts w:ascii="Garamond" w:hAnsi="Garamond"/>
        </w:rPr>
        <w:instrText>Lanskap Corak Filsafat Islam,</w:instrText>
      </w:r>
      <w:r w:rsidRPr="00D01A5E">
        <w:rPr>
          <w:rFonts w:ascii="Garamond" w:hAnsi="Garamond" w:cs="Garamond"/>
        </w:rPr>
        <w:instrText>”</w:instrText>
      </w:r>
      <w:r w:rsidRPr="00D01A5E">
        <w:rPr>
          <w:rFonts w:ascii="Garamond" w:hAnsi="Garamond"/>
        </w:rPr>
        <w:instrText xml:space="preserve"> &lt;i&gt;Islamika</w:instrText>
      </w:r>
      <w:r w:rsidRPr="00D01A5E">
        <w:rPr>
          <w:rFonts w:ascii="Times New Roman" w:hAnsi="Times New Roman" w:cs="Times New Roman"/>
        </w:rPr>
        <w:instrText> </w:instrText>
      </w:r>
      <w:r w:rsidRPr="00D01A5E">
        <w:rPr>
          <w:rFonts w:ascii="Garamond" w:hAnsi="Garamond"/>
        </w:rPr>
        <w:instrText>: Jurnal Ilmu-Ilmu Keislaman&lt;/i&gt; 20, no. 01 (August 6, 2020): 73</w:instrText>
      </w:r>
      <w:r w:rsidRPr="00D01A5E">
        <w:rPr>
          <w:rFonts w:ascii="Garamond" w:hAnsi="Garamond" w:cs="Garamond"/>
        </w:rPr>
        <w:instrText>–</w:instrText>
      </w:r>
      <w:r w:rsidRPr="00D01A5E">
        <w:rPr>
          <w:rFonts w:ascii="Garamond" w:hAnsi="Garamond"/>
        </w:rPr>
        <w:instrText>79, https://doi.org/10.32939/islamika.v20i01.567."},"properties":{"noteIndex":55},"schema":"https://github.com/citation-style-language/schema/raw/master/csl-citation.json"}</w:instrText>
      </w:r>
      <w:r w:rsidR="00071F8A" w:rsidRPr="00D01A5E">
        <w:rPr>
          <w:rFonts w:ascii="Garamond" w:hAnsi="Garamond"/>
        </w:rPr>
        <w:fldChar w:fldCharType="separate"/>
      </w:r>
      <w:r w:rsidRPr="00D01A5E">
        <w:rPr>
          <w:rFonts w:ascii="Garamond" w:hAnsi="Garamond"/>
          <w:noProof/>
        </w:rPr>
        <w:t xml:space="preserve">Andi Muhammad Ikbal Salam, “Lanskap Corak Filsafat Islam,” </w:t>
      </w:r>
      <w:r w:rsidRPr="00D01A5E">
        <w:rPr>
          <w:rFonts w:ascii="Garamond" w:hAnsi="Garamond"/>
          <w:i/>
          <w:noProof/>
        </w:rPr>
        <w:t>Islamika</w:t>
      </w:r>
      <w:r w:rsidRPr="00D01A5E">
        <w:rPr>
          <w:rFonts w:ascii="Times New Roman" w:hAnsi="Times New Roman" w:cs="Times New Roman"/>
          <w:i/>
          <w:noProof/>
        </w:rPr>
        <w:t> </w:t>
      </w:r>
      <w:r w:rsidRPr="00D01A5E">
        <w:rPr>
          <w:rFonts w:ascii="Garamond" w:hAnsi="Garamond"/>
          <w:i/>
          <w:noProof/>
        </w:rPr>
        <w:t>: Jurnal Ilmu-Ilmu Keislaman</w:t>
      </w:r>
      <w:r w:rsidRPr="00D01A5E">
        <w:rPr>
          <w:rFonts w:ascii="Garamond" w:hAnsi="Garamond"/>
          <w:noProof/>
        </w:rPr>
        <w:t xml:space="preserve"> 20, no. 01 (August 6, 2020): 73–79, https://doi.org/10.32939/islamika.v20i01.567.</w:t>
      </w:r>
      <w:r w:rsidR="00071F8A" w:rsidRPr="00D01A5E">
        <w:rPr>
          <w:rFonts w:ascii="Garamond" w:hAnsi="Garamond"/>
        </w:rPr>
        <w:fldChar w:fldCharType="end"/>
      </w:r>
    </w:p>
  </w:footnote>
  <w:footnote w:id="57">
    <w:p w:rsidR="00525F5B" w:rsidRPr="00D01A5E" w:rsidRDefault="00525F5B" w:rsidP="00D01A5E">
      <w:pPr>
        <w:pStyle w:val="FootnoteText"/>
        <w:ind w:firstLine="851"/>
        <w:jc w:val="both"/>
        <w:rPr>
          <w:rFonts w:ascii="Garamond" w:hAnsi="Garamond"/>
          <w:lang w:val="en-US"/>
        </w:rPr>
      </w:pPr>
      <w:r w:rsidRPr="00D01A5E">
        <w:rPr>
          <w:rStyle w:val="FootnoteReference"/>
          <w:rFonts w:ascii="Garamond" w:hAnsi="Garamond"/>
        </w:rPr>
        <w:footnoteRef/>
      </w:r>
      <w:r w:rsidRPr="00D01A5E">
        <w:rPr>
          <w:rFonts w:ascii="Garamond" w:hAnsi="Garamond"/>
        </w:rPr>
        <w:t xml:space="preserve"> </w:t>
      </w:r>
      <w:r w:rsidR="00071F8A" w:rsidRPr="00D01A5E">
        <w:rPr>
          <w:rFonts w:ascii="Garamond" w:hAnsi="Garamond"/>
        </w:rPr>
        <w:fldChar w:fldCharType="begin" w:fldLock="1"/>
      </w:r>
      <w:r w:rsidRPr="00D01A5E">
        <w:rPr>
          <w:rFonts w:ascii="Garamond" w:hAnsi="Garamond"/>
        </w:rPr>
        <w:instrText>ADDIN CSL_CITATION {"citationItems":[{"id":"ITEM-1","itemData":{"author":[{"dropping-particle":"","family":"Wiyono","given":"Dwi Fitri","non-dropping-particle":"","parse-names":false,"suffix":""}],"container-title":"Jurnal Vicratina","id":"ITEM-1","issue":"1","issued":{"date-parts":[["2018"]]},"page":"123-136","title":"Dimensi Humanisme Teosentris Pendidikan Islam: Tinjauan Mazhab Filsafat Pendidikan Islam Peripatetik, Iluminasi, dan Sufi","type":"article-journal","volume":"3"},"uris":["http://www.mendeley.com/documents/?uuid=aad45362-f62d-475e-aaf3-b37e5ecd71d4"]}],"mendeley":{"formattedCitation":"Dwi Fitri Wiyono, “Dimensi Humanisme Teosentris Pendidikan Islam: Tinjauan Mazhab Filsafat Pendidikan Islam Peripatetik, Iluminasi, Dan Sufi,” &lt;i&gt;Jurnal Vicratina&lt;/i&gt; 3, no. 1 (2018): 123–36.","plainTextFormattedCitation":"Dwi Fitri Wiyono, “Dimensi Humanisme Teosentris Pendidikan Islam: Tinjauan Mazhab Filsafat Pendidikan Islam Peripatetik, Iluminasi, Dan Sufi,” Jurnal Vicratina 3, no. 1 (2018): 123–36.","previouslyFormattedCitation":"Dwi Fitri Wiyono, “Dimensi Humanisme Teosentris Pendidikan Islam: Tinjauan Mazhab Filsafat Pendidikan Islam Peripatetik, Iluminasi, Dan Sufi,” &lt;i&gt;Jurnal Vicratina&lt;/i&gt; 3, no. 1 (2018): 123–36."},"properties":{"noteIndex":56},"schema":"https://github.com/citation-style-language/schema/raw/master/csl-citation.json"}</w:instrText>
      </w:r>
      <w:r w:rsidR="00071F8A" w:rsidRPr="00D01A5E">
        <w:rPr>
          <w:rFonts w:ascii="Garamond" w:hAnsi="Garamond"/>
        </w:rPr>
        <w:fldChar w:fldCharType="separate"/>
      </w:r>
      <w:r w:rsidRPr="00D01A5E">
        <w:rPr>
          <w:rFonts w:ascii="Garamond" w:hAnsi="Garamond"/>
          <w:noProof/>
        </w:rPr>
        <w:t xml:space="preserve">Dwi Fitri Wiyono, “Dimensi Humanisme Teosentris Pendidikan Islam: Tinjauan Mazhab Filsafat Pendidikan Islam Peripatetik, Iluminasi, Dan Sufi,” </w:t>
      </w:r>
      <w:r w:rsidRPr="00D01A5E">
        <w:rPr>
          <w:rFonts w:ascii="Garamond" w:hAnsi="Garamond"/>
          <w:i/>
          <w:noProof/>
        </w:rPr>
        <w:t>Jurnal Vicratina</w:t>
      </w:r>
      <w:r w:rsidRPr="00D01A5E">
        <w:rPr>
          <w:rFonts w:ascii="Garamond" w:hAnsi="Garamond"/>
          <w:noProof/>
        </w:rPr>
        <w:t xml:space="preserve"> 3, no. 1 (2018): 123–36.</w:t>
      </w:r>
      <w:r w:rsidR="00071F8A" w:rsidRPr="00D01A5E">
        <w:rPr>
          <w:rFonts w:ascii="Garamond" w:hAnsi="Garamond"/>
        </w:rPr>
        <w:fldChar w:fldCharType="end"/>
      </w:r>
    </w:p>
  </w:footnote>
  <w:footnote w:id="58">
    <w:p w:rsidR="00525F5B" w:rsidRPr="00D01A5E" w:rsidRDefault="00525F5B" w:rsidP="00D01A5E">
      <w:pPr>
        <w:pStyle w:val="FootnoteText"/>
        <w:ind w:firstLine="851"/>
        <w:jc w:val="both"/>
        <w:rPr>
          <w:rFonts w:ascii="Garamond" w:hAnsi="Garamond"/>
          <w:lang w:val="en-US"/>
        </w:rPr>
      </w:pPr>
      <w:r w:rsidRPr="00D01A5E">
        <w:rPr>
          <w:rStyle w:val="FootnoteReference"/>
          <w:rFonts w:ascii="Garamond" w:hAnsi="Garamond"/>
        </w:rPr>
        <w:footnoteRef/>
      </w:r>
      <w:r w:rsidRPr="00D01A5E">
        <w:rPr>
          <w:rFonts w:ascii="Garamond" w:hAnsi="Garamond"/>
        </w:rPr>
        <w:t xml:space="preserve"> </w:t>
      </w:r>
      <w:r w:rsidR="00071F8A" w:rsidRPr="00D01A5E">
        <w:rPr>
          <w:rFonts w:ascii="Garamond" w:hAnsi="Garamond"/>
        </w:rPr>
        <w:fldChar w:fldCharType="begin" w:fldLock="1"/>
      </w:r>
      <w:r w:rsidRPr="00D01A5E">
        <w:rPr>
          <w:rFonts w:ascii="Garamond" w:hAnsi="Garamond"/>
        </w:rPr>
        <w:instrText>ADDIN CSL_CITATION {"citationItems":[{"id":"ITEM-1","itemData":{"DOI":"10.18860/ua.v8i2.6199","ISSN":"2442-5249","abstract":"Brethren of Purity (Ikhwan al-Safa) is a group of philosophers in medieval Islamic history. They declared themselves as opponents of any chastity, impurity, or opacity. Their thoughts compiled in an encyclopedia containing of fifty two treaties (epistles), titled al-Rasa'il Ikhwan al-Safa wa Khullan al-Wafa. Al-Rasa'il extensively surveys a huge range of subjects ranging from music to magic. They are didactic in tone and highly eclectic in content, providing both pedagogical and culture mirror of their Age and its diverse philosophies and creeds. Therefore, al-Rasail is still debatable of its origin, one claims to the writing of Ali bin Abi Talib, the fourth Muslim Caliph (d. 40/661), or the writing of the sixth Shi'ite imam, Imam Ja'far al-Sadiq. The encyclopedia aspires to encompass all knowledge, from all sources, and to give meaning to the struggles of the human race. One of all amazing notions of the Brethren of Purity is a numerical symbolism as applied to explain qualitative correspondence of three principal beings: God as The Creator, universe, and human being.","author":[{"dropping-particle":"","family":"Hady","given":"M. Samsul","non-dropping-particle":"","parse-names":false,"suffix":""}],"container-title":"ULUL ALBAB Jurnal Studi Islam","id":"ITEM-1","issue":"2","issued":{"date-parts":[["2018","12","26"]]},"page":"117-140","title":"Filsafat Ikhwan Ash-Shafa","type":"article-journal","volume":"8"},"uris":["http://www.mendeley.com/documents/?uuid=6fda07fc-25bb-4571-8c0b-973ac8c565bf"]}],"mendeley":{"formattedCitation":"M. Samsul Hady, “Filsafat Ikhwan Ash-Shafa,” &lt;i&gt;ULUL ALBAB Jurnal Studi Islam&lt;/i&gt; 8, no. 2 (December 26, 2018): 117–40, https://doi.org/10.18860/ua.v8i2.6199.","plainTextFormattedCitation":"M. Samsul Hady, “Filsafat Ikhwan Ash-Shafa,” ULUL ALBAB Jurnal Studi Islam 8, no. 2 (December 26, 2018): 117–40, https://doi.org/10.18860/ua.v8i2.6199.","previouslyFormattedCitation":"M. Samsul Hady, “Filsafat Ikhwan Ash-Shafa,” &lt;i&gt;ULUL ALBAB Jurnal Studi Islam&lt;/i&gt; 8, no. 2 (December 26, 2018): 117–40, https://doi.org/10.18860/ua.v8i2.6199."},"properties":{"noteIndex":57},"schema":"https://github.com/citation-style-language/schema/raw/master/csl-citation.json"}</w:instrText>
      </w:r>
      <w:r w:rsidR="00071F8A" w:rsidRPr="00D01A5E">
        <w:rPr>
          <w:rFonts w:ascii="Garamond" w:hAnsi="Garamond"/>
        </w:rPr>
        <w:fldChar w:fldCharType="separate"/>
      </w:r>
      <w:r w:rsidRPr="00D01A5E">
        <w:rPr>
          <w:rFonts w:ascii="Garamond" w:hAnsi="Garamond"/>
          <w:noProof/>
        </w:rPr>
        <w:t xml:space="preserve">M. Samsul Hady, “Filsafat Ikhwan Ash-Shafa,” </w:t>
      </w:r>
      <w:r w:rsidRPr="00D01A5E">
        <w:rPr>
          <w:rFonts w:ascii="Garamond" w:hAnsi="Garamond"/>
          <w:i/>
          <w:noProof/>
        </w:rPr>
        <w:t>ULUL ALBAB Jurnal Studi Islam</w:t>
      </w:r>
      <w:r w:rsidRPr="00D01A5E">
        <w:rPr>
          <w:rFonts w:ascii="Garamond" w:hAnsi="Garamond"/>
          <w:noProof/>
        </w:rPr>
        <w:t xml:space="preserve"> 8, no. 2 (December 26, 2018): 117–40, https://doi.org/10.18860/ua.v8i2.6199.</w:t>
      </w:r>
      <w:r w:rsidR="00071F8A" w:rsidRPr="00D01A5E">
        <w:rPr>
          <w:rFonts w:ascii="Garamond" w:hAnsi="Garamond"/>
        </w:rPr>
        <w:fldChar w:fldCharType="end"/>
      </w:r>
    </w:p>
  </w:footnote>
  <w:footnote w:id="59">
    <w:p w:rsidR="00896187" w:rsidRPr="00D01A5E" w:rsidRDefault="00896187" w:rsidP="00D01A5E">
      <w:pPr>
        <w:pStyle w:val="FootnoteText"/>
        <w:ind w:firstLine="851"/>
        <w:jc w:val="both"/>
        <w:rPr>
          <w:rFonts w:ascii="Garamond" w:hAnsi="Garamond"/>
          <w:lang w:val="en-US"/>
        </w:rPr>
      </w:pPr>
      <w:r w:rsidRPr="00D01A5E">
        <w:rPr>
          <w:rStyle w:val="FootnoteReference"/>
          <w:rFonts w:ascii="Garamond" w:hAnsi="Garamond"/>
        </w:rPr>
        <w:footnoteRef/>
      </w:r>
      <w:r w:rsidRPr="00D01A5E">
        <w:rPr>
          <w:rFonts w:ascii="Garamond" w:hAnsi="Garamond"/>
        </w:rPr>
        <w:t xml:space="preserve"> </w:t>
      </w:r>
      <w:r w:rsidR="00071F8A" w:rsidRPr="00D01A5E">
        <w:rPr>
          <w:rFonts w:ascii="Garamond" w:hAnsi="Garamond"/>
        </w:rPr>
        <w:fldChar w:fldCharType="begin" w:fldLock="1"/>
      </w:r>
      <w:r w:rsidR="00525F5B" w:rsidRPr="00D01A5E">
        <w:rPr>
          <w:rFonts w:ascii="Garamond" w:hAnsi="Garamond"/>
        </w:rPr>
        <w:instrText>ADDIN CSL_CITATION {"citationItems":[{"id":"ITEM-1","itemData":{"DOI":"https://doi.org/10.30762/empirisma.v33i2.2028","author":[{"dropping-particle":"","family":"Hajam","given":"","non-dropping-particle":"","parse-names":false,"suffix":""},{"dropping-particle":"","family":"Saumantr","given":"Theguh","non-dropping-particle":"","parse-names":false,"suffix":""}],"container-title":"Empirisma: Jurnal Pemikiran dan Kebudayaan Islam","id":"ITEM-1","issue":"2","issued":{"date-parts":[["2024"]]},"page":"291-316","title":"Khazanah Ajaran Tasawuf Nusantara: Respon Terhadap Krisis Kemanusiaan di Era Kontemporer","type":"article-journal","volume":"33"},"uris":["http://www.mendeley.com/documents/?uuid=7d08d804-db48-49f1-9c15-e14768184c57"]}],"mendeley":{"formattedCitation":"Hajam and Theguh Saumantr, “Khazanah Ajaran Tasawuf Nusantara: Respon Terhadap Krisis Kemanusiaan Di Era Kontemporer,” &lt;i&gt;Empirisma: Jurnal Pemikiran Dan Kebudayaan Islam&lt;/i&gt; 33, no. 2 (2024): 291–316, https://doi.org/https://doi.org/10.30762/empirisma.v33i2.2028.","plainTextFormattedCitation":"Hajam and Theguh Saumantr, “Khazanah Ajaran Tasawuf Nusantara: Respon Terhadap Krisis Kemanusiaan Di Era Kontemporer,” Empirisma: Jurnal Pemikiran Dan Kebudayaan Islam 33, no. 2 (2024): 291–316, https://doi.org/https://doi.org/10.30762/empirisma.v33i2.2028.","previouslyFormattedCitation":"Hajam and Theguh Saumantr, “Khazanah Ajaran Tasawuf Nusantara: Respon Terhadap Krisis Kemanusiaan Di Era Kontemporer,” &lt;i&gt;Empirisma: Jurnal Pemikiran Dan Kebudayaan Islam&lt;/i&gt; 33, no. 2 (2024): 291–316, https://doi.org/https://doi.org/10.30762/empirisma.v33i2.2028."},"properties":{"noteIndex":58},"schema":"https://github.com/citation-style-language/schema/raw/master/csl-citation.json"}</w:instrText>
      </w:r>
      <w:r w:rsidR="00071F8A" w:rsidRPr="00D01A5E">
        <w:rPr>
          <w:rFonts w:ascii="Garamond" w:hAnsi="Garamond"/>
        </w:rPr>
        <w:fldChar w:fldCharType="separate"/>
      </w:r>
      <w:r w:rsidRPr="00D01A5E">
        <w:rPr>
          <w:rFonts w:ascii="Garamond" w:hAnsi="Garamond"/>
          <w:noProof/>
        </w:rPr>
        <w:t xml:space="preserve">Hajam and Theguh Saumantr, “Khazanah Ajaran Tasawuf Nusantara: Respon Terhadap Krisis Kemanusiaan Di Era Kontemporer,” </w:t>
      </w:r>
      <w:r w:rsidRPr="00D01A5E">
        <w:rPr>
          <w:rFonts w:ascii="Garamond" w:hAnsi="Garamond"/>
          <w:i/>
          <w:noProof/>
        </w:rPr>
        <w:t>Empirisma: Jurnal Pemikiran Dan Kebudayaan Islam</w:t>
      </w:r>
      <w:r w:rsidRPr="00D01A5E">
        <w:rPr>
          <w:rFonts w:ascii="Garamond" w:hAnsi="Garamond"/>
          <w:noProof/>
        </w:rPr>
        <w:t xml:space="preserve"> 33, no. 2 (2024): 291–316, https://doi.org/https://doi.org/10.30762/empirisma.v33i2.2028.</w:t>
      </w:r>
      <w:r w:rsidR="00071F8A" w:rsidRPr="00D01A5E">
        <w:rPr>
          <w:rFonts w:ascii="Garamond" w:hAnsi="Garamond"/>
        </w:rPr>
        <w:fldChar w:fldCharType="end"/>
      </w:r>
    </w:p>
  </w:footnote>
  <w:footnote w:id="60">
    <w:p w:rsidR="00896187" w:rsidRPr="00D01A5E" w:rsidRDefault="00896187" w:rsidP="00D01A5E">
      <w:pPr>
        <w:pStyle w:val="FootnoteText"/>
        <w:ind w:firstLine="851"/>
        <w:jc w:val="both"/>
        <w:rPr>
          <w:rFonts w:ascii="Garamond" w:hAnsi="Garamond"/>
          <w:lang w:val="en-US"/>
        </w:rPr>
      </w:pPr>
      <w:r w:rsidRPr="00D01A5E">
        <w:rPr>
          <w:rStyle w:val="FootnoteReference"/>
          <w:rFonts w:ascii="Garamond" w:hAnsi="Garamond"/>
        </w:rPr>
        <w:footnoteRef/>
      </w:r>
      <w:r w:rsidRPr="00D01A5E">
        <w:rPr>
          <w:rFonts w:ascii="Garamond" w:hAnsi="Garamond"/>
        </w:rPr>
        <w:t xml:space="preserve"> </w:t>
      </w:r>
      <w:r w:rsidR="00071F8A" w:rsidRPr="00D01A5E">
        <w:rPr>
          <w:rFonts w:ascii="Garamond" w:hAnsi="Garamond"/>
        </w:rPr>
        <w:fldChar w:fldCharType="begin" w:fldLock="1"/>
      </w:r>
      <w:r w:rsidR="00525F5B" w:rsidRPr="00D01A5E">
        <w:rPr>
          <w:rFonts w:ascii="Garamond" w:hAnsi="Garamond"/>
        </w:rPr>
        <w:instrText>ADDIN CSL_CITATION {"citationItems":[{"id":"ITEM-1","itemData":{"DOI":"10.24235/jy.v5i2.5711","ISSN":"2528-5890","author":[{"dropping-particle":"","family":"Saumantri","given":"Theguh","non-dropping-particle":"","parse-names":false,"suffix":""}],"container-title":"Jurnal Yaqzhan: Analisis Filsafat, Agama dan Kemanusiaan: Analisis Filsafat, Agama dan Kemanusiaan","id":"ITEM-1","issue":"2","issued":{"date-parts":[["2019","12"]]},"page":"128","title":"Wacana Integrasi Ilmu Dalam Pandangan Al-Ghozali","type":"article-journal","volume":"5"},"uris":["http://www.mendeley.com/documents/?uuid=14cee6e6-3af4-3253-89a9-c6493558d812"]}],"mendeley":{"formattedCitation":"Theguh Saumantri, “Wacana Integrasi Ilmu Dalam Pandangan Al-Ghozali,” &lt;i&gt;Jurnal Yaqzhan: Analisis Filsafat, Agama Dan Kemanusiaan: Analisis Filsafat, Agama Dan Kemanusiaan&lt;/i&gt; 5, no. 2 (December 2019): 128, https://doi.org/10.24235/jy.v5i2.5711.","plainTextFormattedCitation":"Theguh Saumantri, “Wacana Integrasi Ilmu Dalam Pandangan Al-Ghozali,” Jurnal Yaqzhan: Analisis Filsafat, Agama Dan Kemanusiaan: Analisis Filsafat, Agama Dan Kemanusiaan 5, no. 2 (December 2019): 128, https://doi.org/10.24235/jy.v5i2.5711.","previouslyFormattedCitation":"Theguh Saumantri, “Wacana Integrasi Ilmu Dalam Pandangan Al-Ghozali,” &lt;i&gt;Jurnal Yaqzhan: Analisis Filsafat, Agama Dan Kemanusiaan: Analisis Filsafat, Agama Dan Kemanusiaan&lt;/i&gt; 5, no. 2 (December 2019): 128, https://doi.org/10.24235/jy.v5i2.5711."},"properties":{"noteIndex":59},"schema":"https://github.com/citation-style-language/schema/raw/master/csl-citation.json"}</w:instrText>
      </w:r>
      <w:r w:rsidR="00071F8A" w:rsidRPr="00D01A5E">
        <w:rPr>
          <w:rFonts w:ascii="Garamond" w:hAnsi="Garamond"/>
        </w:rPr>
        <w:fldChar w:fldCharType="separate"/>
      </w:r>
      <w:r w:rsidRPr="00D01A5E">
        <w:rPr>
          <w:rFonts w:ascii="Garamond" w:hAnsi="Garamond"/>
          <w:noProof/>
        </w:rPr>
        <w:t xml:space="preserve">Theguh Saumantri, “Wacana Integrasi Ilmu Dalam Pandangan Al-Ghozali,” </w:t>
      </w:r>
      <w:r w:rsidRPr="00D01A5E">
        <w:rPr>
          <w:rFonts w:ascii="Garamond" w:hAnsi="Garamond"/>
          <w:i/>
          <w:noProof/>
        </w:rPr>
        <w:t>Jurnal Yaqzhan: Analisis Filsafat, Agama Dan Kemanusiaan: Analisis Filsafat, Agama Dan Kemanusiaan</w:t>
      </w:r>
      <w:r w:rsidRPr="00D01A5E">
        <w:rPr>
          <w:rFonts w:ascii="Garamond" w:hAnsi="Garamond"/>
          <w:noProof/>
        </w:rPr>
        <w:t xml:space="preserve"> 5, no. 2 (December 2019): 128, https://doi.org/10.24235/jy.v5i2.5711.</w:t>
      </w:r>
      <w:r w:rsidR="00071F8A" w:rsidRPr="00D01A5E">
        <w:rPr>
          <w:rFonts w:ascii="Garamond" w:hAnsi="Garamond"/>
        </w:rPr>
        <w:fldChar w:fldCharType="end"/>
      </w:r>
    </w:p>
  </w:footnote>
  <w:footnote w:id="61">
    <w:p w:rsidR="0035367B" w:rsidRPr="00D01A5E" w:rsidRDefault="0035367B" w:rsidP="00D01A5E">
      <w:pPr>
        <w:pStyle w:val="FootnoteText"/>
        <w:ind w:firstLine="851"/>
        <w:jc w:val="both"/>
        <w:rPr>
          <w:rFonts w:ascii="Garamond" w:hAnsi="Garamond"/>
          <w:lang w:val="en-US"/>
        </w:rPr>
      </w:pPr>
      <w:r w:rsidRPr="00D01A5E">
        <w:rPr>
          <w:rStyle w:val="FootnoteReference"/>
          <w:rFonts w:ascii="Garamond" w:hAnsi="Garamond"/>
        </w:rPr>
        <w:footnoteRef/>
      </w:r>
      <w:r w:rsidRPr="00D01A5E">
        <w:rPr>
          <w:rFonts w:ascii="Garamond" w:hAnsi="Garamond"/>
        </w:rPr>
        <w:t xml:space="preserve"> </w:t>
      </w:r>
      <w:r w:rsidR="00071F8A" w:rsidRPr="00D01A5E">
        <w:rPr>
          <w:rFonts w:ascii="Garamond" w:hAnsi="Garamond"/>
        </w:rPr>
        <w:fldChar w:fldCharType="begin" w:fldLock="1"/>
      </w:r>
      <w:r w:rsidR="00525F5B" w:rsidRPr="00D01A5E">
        <w:rPr>
          <w:rFonts w:ascii="Garamond" w:hAnsi="Garamond"/>
        </w:rPr>
        <w:instrText>ADDIN CSL_CITATION {"citationItems":[{"id":"ITEM-1","itemData":{"DOI":"10.30631/tjd.v20i1.140","ISSN":"2541-5018","abstract":"After al-Ghazali attack to the tradition of Islamic philosophy with Tahafutul al-Falasifah, tradition of Islamic philosophy in area of Muslims that decline and stagnation. In Persian world, tradition of Islamic philosophy, have development with new perspective. Tradition of Islamic philosophy in the Persian rise up with Muslim philosopher Suhrawardi by philosophy of illumination with al-Hikmah al-Isyraqiyyah, as an sinthesis to philosophy peripatetic which has long dominated in the tradition of Islamic philosophy studies. This article to the explore development of the tradition and influence Suhrawardi School of illumination to the tradition of Islamic philosophy. Suhrawardi’s school of illumination philosophy has an influence to the next generation, especially in Islamic philosophy in Isfahan, Iraq and in the Islamic world. Pasca serangan al-Ghazali melalui Tahafutul al-Falasifah tradisi kajian filsafat Islam di kalangan umat Islam mengalami kemunduran dan kemandekan. Di Persia tradisi tradisi kajian filsafat Islam justru mengalami perkembangan dengan sudut pandang baru. Tradisi kajian filsafat Islam di Persia memunculkan filosof Muslim bernama Suhrawardi dengan mazhab iluminasi dengan al-Hikmah al-Isyraqiyyah, sebagai sintesis dari filsafat peripatetik yang telah lama mendominasi tradisi kajian filsafat Islam. Artikel ini akan mengulas perkembangan tradisi dan pengaruh mazhab iluminasi Suhrawardi terhadap tradisi kajian filsafat Islam. Mazhab iluminasi Suhrawardi, telah memberikan pengaruh terhadap generasi sesudahnya, terutama dalam kajian filsafat Islam di Isfahan Iraq dan dunia Islam.","author":[{"dropping-particle":"","family":"Maulana","given":"Muhammad Iqbal","non-dropping-particle":"","parse-names":false,"suffix":""},{"dropping-particle":"","family":"Arsyi","given":"Syahuri","non-dropping-particle":"","parse-names":false,"suffix":""}],"container-title":"TAJDID: Jurnal Ilmu Ushuluddin","id":"ITEM-1","issue":"1","issued":{"date-parts":[["2021","7","5"]]},"page":"32-62","title":"Tradisi Filsafat Iluminasionisme Dan Pengaruhnya Terhadap Kajian Filsafat Islam","type":"article-journal","volume":"20"},"uris":["http://www.mendeley.com/documents/?uuid=e7fe6787-a04a-4a3e-84f4-98c7ee9e152d"]}],"mendeley":{"formattedCitation":"Muhammad Iqbal Maulana and Syahuri Arsyi, “Tradisi Filsafat Iluminasionisme Dan Pengaruhnya Terhadap Kajian Filsafat Islam,” &lt;i&gt;TAJDID: Jurnal Ilmu Ushuluddin&lt;/i&gt; 20, no. 1 (July 5, 2021): 32–62, https://doi.org/10.30631/tjd.v20i1.140.","plainTextFormattedCitation":"Muhammad Iqbal Maulana and Syahuri Arsyi, “Tradisi Filsafat Iluminasionisme Dan Pengaruhnya Terhadap Kajian Filsafat Islam,” TAJDID: Jurnal Ilmu Ushuluddin 20, no. 1 (July 5, 2021): 32–62, https://doi.org/10.30631/tjd.v20i1.140.","previouslyFormattedCitation":"Muhammad Iqbal Maulana and Syahuri Arsyi, “Tradisi Filsafat Iluminasionisme Dan Pengaruhnya Terhadap Kajian Filsafat Islam,” &lt;i&gt;TAJDID: Jurnal Ilmu Ushuluddin&lt;/i&gt; 20, no. 1 (July 5, 2021): 32–62, https://doi.org/10.30631/tjd.v20i1.140."},"properties":{"noteIndex":60},"schema":"https://github.com/citation-style-language/schema/raw/master/csl-citation.json"}</w:instrText>
      </w:r>
      <w:r w:rsidR="00071F8A" w:rsidRPr="00D01A5E">
        <w:rPr>
          <w:rFonts w:ascii="Garamond" w:hAnsi="Garamond"/>
        </w:rPr>
        <w:fldChar w:fldCharType="separate"/>
      </w:r>
      <w:r w:rsidRPr="00D01A5E">
        <w:rPr>
          <w:rFonts w:ascii="Garamond" w:hAnsi="Garamond"/>
          <w:noProof/>
        </w:rPr>
        <w:t xml:space="preserve">Muhammad Iqbal Maulana and Syahuri Arsyi, “Tradisi Filsafat Iluminasionisme Dan Pengaruhnya Terhadap Kajian Filsafat Islam,” </w:t>
      </w:r>
      <w:r w:rsidRPr="00D01A5E">
        <w:rPr>
          <w:rFonts w:ascii="Garamond" w:hAnsi="Garamond"/>
          <w:i/>
          <w:noProof/>
        </w:rPr>
        <w:t>TAJDID: Jurnal Ilmu Ushuluddin</w:t>
      </w:r>
      <w:r w:rsidRPr="00D01A5E">
        <w:rPr>
          <w:rFonts w:ascii="Garamond" w:hAnsi="Garamond"/>
          <w:noProof/>
        </w:rPr>
        <w:t xml:space="preserve"> 20, no. 1 (July 5, 2021): 32–62, https://doi.org/10.30631/tjd.v20i1.140.</w:t>
      </w:r>
      <w:r w:rsidR="00071F8A" w:rsidRPr="00D01A5E">
        <w:rPr>
          <w:rFonts w:ascii="Garamond" w:hAnsi="Garamond"/>
        </w:rPr>
        <w:fldChar w:fldCharType="end"/>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3466" w:rsidRDefault="003D3466">
    <w:pPr>
      <w:pStyle w:val="Header"/>
      <w:rPr>
        <w:lang w:val="en-US"/>
      </w:rPr>
    </w:pPr>
  </w:p>
  <w:p w:rsidR="003D3466" w:rsidRPr="003D3466" w:rsidRDefault="003D3466">
    <w:pPr>
      <w:pStyle w:val="Header"/>
      <w:rPr>
        <w:rFonts w:ascii="Garamond" w:hAnsi="Garamond"/>
        <w:lang w:val="en-US"/>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3466" w:rsidRPr="00102E71" w:rsidRDefault="00B47BB7" w:rsidP="003D3466">
    <w:pPr>
      <w:spacing w:before="240" w:after="240"/>
      <w:jc w:val="right"/>
      <w:rPr>
        <w:sz w:val="22"/>
        <w:szCs w:val="22"/>
      </w:rPr>
    </w:pPr>
    <w:bookmarkStart w:id="1" w:name="_Hlk197423985"/>
    <w:bookmarkStart w:id="2" w:name="_Hlk197423986"/>
    <w:bookmarkStart w:id="3" w:name="_Hlk197423987"/>
    <w:bookmarkStart w:id="4" w:name="_Hlk197423988"/>
    <w:r>
      <w:rPr>
        <w:rFonts w:ascii="Times New Roman" w:eastAsia="Times New Roman" w:hAnsi="Times New Roman" w:cs="Times New Roman"/>
        <w:noProof/>
        <w:sz w:val="22"/>
        <w:szCs w:val="22"/>
        <w:lang w:val="en-US" w:eastAsia="en-US"/>
      </w:rPr>
      <w:pict>
        <v:line id="Konektor Lurus 1" o:spid="_x0000_s1025" style="position:absolute;left:0;text-align:left;z-index:251662336;visibility:visible;mso-wrap-distance-top:-3e-5mm;mso-wrap-distance-bottom:-3e-5mm;mso-width-relative:margin" from=".65pt,48.2pt" to="449.25pt,4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d2B2wEAABYEAAAOAAAAZHJzL2Uyb0RvYy54bWysU01v1DAQvSPxHyzf2WQXWkq02R5alUuB&#10;isIPcJ3xrlXbY9nuJvvvGTsflM8D4mJlxvPevDcZby8Ha9gRQtToWr5e1ZyBk9hpt2/51y83ry44&#10;i0m4Thh00PITRH65e/li2/sGNnhA00FgROJi0/uWH1LyTVVFeQAr4go9OLpUGKxIFIZ91QXRE7s1&#10;1aauz6seQ+cDSoiRstfjJd8VfqVApk9KRUjMtJy0pXKGcj7ks9ptRbMPwh+0nGSIf1BhhXbUdKG6&#10;Fkmwp6B/obJaBoyo0kqirVApLaF4IDfr+ic39wfhoXih4US/jCn+P1r58Xjl7kKWLgd3729RPkYa&#10;StX72CyXOYh+LBtUsLmctLOhDPK0DBKGxCQlX78737ypad5yvqtEMwN9iOk9oGX5o+VGu+xRNOJ4&#10;G1NuLZq5JKeNY33Lz+oL4stxRKO7G21MCfKewJUJ7CjoDwspwaV1qTNP9gN2Y/7tWU3okbusVoaU&#10;Ts/YqK9xk/PRbLGdTgZGHZ9BMd1le6OQH3t3j+upg3FUmSGKVC6gSf2fQFNthkHZ2wW4+Xu3pbp0&#10;RJcWoNUOw+/AaZilqrF+dj16zbYfsDvdhXkRaPnKtKaHkrf7eVzg35/z7hsAAAD//wMAUEsDBBQA&#10;BgAIAAAAIQAfP2D02gAAAAcBAAAPAAAAZHJzL2Rvd25yZXYueG1sTI/NTsMwEITvSLyDtUjcWodU&#10;ClGIUyEkbvTQP/W6tZckIraD7abh7VnEAY67M5r5pl7PdhAThdh7p+BhmYEgp73pXavgsH9dlCBi&#10;Qmdw8I4UfFGEdXN7U2Nl/NVtadqlVnCIixUq6FIaKymj7shiXPqRHGvvPlhMfIZWmoBXDreDzLOs&#10;kBZ7xw0djvTSkf7YXSyXbGUZ0PSb0+lwxOlzU+7ftFbq/m5+fgKRaE5/ZvjBZ3RomOnsL85EMShY&#10;rNioIC94AMtFvnoEcf59yKaW//mbbwAAAP//AwBQSwECLQAUAAYACAAAACEAtoM4kv4AAADhAQAA&#10;EwAAAAAAAAAAAAAAAAAAAAAAW0NvbnRlbnRfVHlwZXNdLnhtbFBLAQItABQABgAIAAAAIQA4/SH/&#10;1gAAAJQBAAALAAAAAAAAAAAAAAAAAC8BAABfcmVscy8ucmVsc1BLAQItABQABgAIAAAAIQDR6d2B&#10;2wEAABYEAAAOAAAAAAAAAAAAAAAAAC4CAABkcnMvZTJvRG9jLnhtbFBLAQItABQABgAIAAAAIQAf&#10;P2D02gAAAAcBAAAPAAAAAAAAAAAAAAAAADUEAABkcnMvZG93bnJldi54bWxQSwUGAAAAAAQABADz&#10;AAAAPAUAAAAA&#10;" strokecolor="#2f5496 [2404]" strokeweight="4pt">
          <v:shadow on="t" color="black" opacity="22937f" origin=",.5" offset="0,.63889mm"/>
          <o:lock v:ext="edit" shapetype="f"/>
        </v:line>
      </w:pict>
    </w:r>
    <w:r w:rsidR="003D3466" w:rsidRPr="00102E71">
      <w:rPr>
        <w:rFonts w:ascii="Times New Roman" w:eastAsia="Times New Roman" w:hAnsi="Times New Roman" w:cs="Times New Roman"/>
        <w:sz w:val="22"/>
        <w:szCs w:val="22"/>
      </w:rPr>
      <w:t xml:space="preserve">Email : </w:t>
    </w:r>
    <w:hyperlink r:id="rId1">
      <w:r w:rsidR="003D3466" w:rsidRPr="00102E71">
        <w:rPr>
          <w:rFonts w:ascii="Times New Roman" w:eastAsia="Times New Roman" w:hAnsi="Times New Roman" w:cs="Times New Roman"/>
          <w:color w:val="1155CC"/>
          <w:sz w:val="22"/>
          <w:szCs w:val="22"/>
          <w:u w:val="single"/>
        </w:rPr>
        <w:t>ushuluddin@uinsu.ac.id</w:t>
      </w:r>
    </w:hyperlink>
    <w:r w:rsidR="003D3466" w:rsidRPr="00102E71">
      <w:rPr>
        <w:rFonts w:ascii="Times New Roman" w:eastAsia="Times New Roman" w:hAnsi="Times New Roman" w:cs="Times New Roman"/>
        <w:sz w:val="22"/>
        <w:szCs w:val="22"/>
      </w:rPr>
      <w:t xml:space="preserve"> </w:t>
    </w:r>
    <w:r w:rsidR="003D3466" w:rsidRPr="00102E71">
      <w:rPr>
        <w:rFonts w:ascii="Times New Roman" w:eastAsia="Times New Roman" w:hAnsi="Times New Roman" w:cs="Times New Roman"/>
        <w:noProof/>
        <w:sz w:val="22"/>
        <w:szCs w:val="22"/>
        <w:lang w:val="en-US" w:eastAsia="en-US"/>
      </w:rPr>
      <w:drawing>
        <wp:inline distT="114300" distB="114300" distL="114300" distR="114300">
          <wp:extent cx="142875" cy="104775"/>
          <wp:effectExtent l="0" t="0" r="0" b="0"/>
          <wp:docPr id="151062191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
                  <a:srcRect/>
                  <a:stretch>
                    <a:fillRect/>
                  </a:stretch>
                </pic:blipFill>
                <pic:spPr>
                  <a:xfrm>
                    <a:off x="0" y="0"/>
                    <a:ext cx="142875" cy="104775"/>
                  </a:xfrm>
                  <a:prstGeom prst="rect">
                    <a:avLst/>
                  </a:prstGeom>
                  <a:ln/>
                </pic:spPr>
              </pic:pic>
            </a:graphicData>
          </a:graphic>
        </wp:inline>
      </w:drawing>
    </w:r>
    <w:r w:rsidR="003D3466" w:rsidRPr="00102E71">
      <w:rPr>
        <w:rFonts w:ascii="Times New Roman" w:eastAsia="Times New Roman" w:hAnsi="Times New Roman" w:cs="Times New Roman"/>
        <w:sz w:val="22"/>
        <w:szCs w:val="22"/>
      </w:rPr>
      <w:t xml:space="preserve">   </w:t>
    </w:r>
    <w:r w:rsidR="003D3466" w:rsidRPr="00102E71">
      <w:rPr>
        <w:rFonts w:ascii="Times New Roman" w:eastAsia="Times New Roman" w:hAnsi="Times New Roman" w:cs="Times New Roman"/>
        <w:sz w:val="22"/>
        <w:szCs w:val="22"/>
      </w:rPr>
      <w:br/>
    </w:r>
    <w:hyperlink r:id="rId3">
      <w:r w:rsidR="003D3466" w:rsidRPr="00102E71">
        <w:rPr>
          <w:rFonts w:ascii="Times New Roman" w:eastAsia="Times New Roman" w:hAnsi="Times New Roman" w:cs="Times New Roman"/>
          <w:color w:val="1155CC"/>
          <w:sz w:val="22"/>
          <w:szCs w:val="22"/>
          <w:u w:val="single"/>
        </w:rPr>
        <w:t>https://jurnal.uinsu.ac.id/index.php/ushuluddin</w:t>
      </w:r>
    </w:hyperlink>
    <w:bookmarkEnd w:id="1"/>
    <w:bookmarkEnd w:id="2"/>
    <w:bookmarkEnd w:id="3"/>
    <w:bookmarkEnd w:id="4"/>
  </w:p>
  <w:p w:rsidR="003D3466" w:rsidRDefault="003D346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733A00"/>
    <w:multiLevelType w:val="hybridMultilevel"/>
    <w:tmpl w:val="F55E9CC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nsid w:val="1FC1704A"/>
    <w:multiLevelType w:val="multilevel"/>
    <w:tmpl w:val="3AF43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2227C91"/>
    <w:multiLevelType w:val="multilevel"/>
    <w:tmpl w:val="58D65D8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88207B6"/>
    <w:multiLevelType w:val="multilevel"/>
    <w:tmpl w:val="0EE6E0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defaultTabStop w:val="720"/>
  <w:drawingGridHorizontalSpacing w:val="120"/>
  <w:displayHorizontalDrawingGridEvery w:val="2"/>
  <w:displayVerticalDrawingGridEvery w:val="2"/>
  <w:characterSpacingControl w:val="doNotCompress"/>
  <w:savePreviewPicture/>
  <w:hdrShapeDefaults>
    <o:shapedefaults v:ext="edit" spidmax="4098"/>
    <o:shapelayout v:ext="edit">
      <o:idmap v:ext="edit" data="1"/>
    </o:shapelayout>
  </w:hdrShapeDefaults>
  <w:footnotePr>
    <w:footnote w:id="0"/>
    <w:footnote w:id="1"/>
  </w:footnotePr>
  <w:endnotePr>
    <w:endnote w:id="0"/>
    <w:endnote w:id="1"/>
  </w:endnotePr>
  <w:compat>
    <w:useFELayout/>
  </w:compat>
  <w:rsids>
    <w:rsidRoot w:val="0022235A"/>
    <w:rsid w:val="00047128"/>
    <w:rsid w:val="00071F8A"/>
    <w:rsid w:val="00096D9C"/>
    <w:rsid w:val="000B1245"/>
    <w:rsid w:val="000C074F"/>
    <w:rsid w:val="00102E71"/>
    <w:rsid w:val="001039F9"/>
    <w:rsid w:val="0010489C"/>
    <w:rsid w:val="00105CA0"/>
    <w:rsid w:val="001108E3"/>
    <w:rsid w:val="001323DD"/>
    <w:rsid w:val="001D0604"/>
    <w:rsid w:val="001F7DC0"/>
    <w:rsid w:val="0022235A"/>
    <w:rsid w:val="0023631A"/>
    <w:rsid w:val="00271818"/>
    <w:rsid w:val="002960B4"/>
    <w:rsid w:val="002D080A"/>
    <w:rsid w:val="002F3D3E"/>
    <w:rsid w:val="00343818"/>
    <w:rsid w:val="0035367B"/>
    <w:rsid w:val="003A4646"/>
    <w:rsid w:val="003D3466"/>
    <w:rsid w:val="00420140"/>
    <w:rsid w:val="004B194C"/>
    <w:rsid w:val="004E5A25"/>
    <w:rsid w:val="00512CB1"/>
    <w:rsid w:val="00514C84"/>
    <w:rsid w:val="00517019"/>
    <w:rsid w:val="00525F5B"/>
    <w:rsid w:val="005737C8"/>
    <w:rsid w:val="00586A44"/>
    <w:rsid w:val="005964BC"/>
    <w:rsid w:val="00606522"/>
    <w:rsid w:val="0063112B"/>
    <w:rsid w:val="006416A7"/>
    <w:rsid w:val="007349C5"/>
    <w:rsid w:val="00790EEB"/>
    <w:rsid w:val="007B13CC"/>
    <w:rsid w:val="007B79B7"/>
    <w:rsid w:val="007F6AD6"/>
    <w:rsid w:val="00803718"/>
    <w:rsid w:val="00896187"/>
    <w:rsid w:val="008A2060"/>
    <w:rsid w:val="008F6DEC"/>
    <w:rsid w:val="009E10E3"/>
    <w:rsid w:val="009F6887"/>
    <w:rsid w:val="00A1511E"/>
    <w:rsid w:val="00A171FC"/>
    <w:rsid w:val="00A3577F"/>
    <w:rsid w:val="00AA7836"/>
    <w:rsid w:val="00AC498A"/>
    <w:rsid w:val="00B226E0"/>
    <w:rsid w:val="00B373EE"/>
    <w:rsid w:val="00B47BB7"/>
    <w:rsid w:val="00C16125"/>
    <w:rsid w:val="00C24CFD"/>
    <w:rsid w:val="00C62FA5"/>
    <w:rsid w:val="00C759FF"/>
    <w:rsid w:val="00C76389"/>
    <w:rsid w:val="00C806E8"/>
    <w:rsid w:val="00C84589"/>
    <w:rsid w:val="00C90046"/>
    <w:rsid w:val="00CA5887"/>
    <w:rsid w:val="00CA5A97"/>
    <w:rsid w:val="00CB2DC0"/>
    <w:rsid w:val="00CD75F1"/>
    <w:rsid w:val="00CE3DCB"/>
    <w:rsid w:val="00D01A5E"/>
    <w:rsid w:val="00D0226E"/>
    <w:rsid w:val="00D26A46"/>
    <w:rsid w:val="00D73689"/>
    <w:rsid w:val="00DA1C84"/>
    <w:rsid w:val="00DE0334"/>
    <w:rsid w:val="00DE1751"/>
    <w:rsid w:val="00E00A85"/>
    <w:rsid w:val="00E153F6"/>
    <w:rsid w:val="00E91200"/>
    <w:rsid w:val="00EA6058"/>
    <w:rsid w:val="00EC0BD5"/>
    <w:rsid w:val="00EC5E4D"/>
    <w:rsid w:val="00EE7238"/>
    <w:rsid w:val="00F03BB7"/>
    <w:rsid w:val="00F94462"/>
    <w:rsid w:val="00F94544"/>
    <w:rsid w:val="00FB5435"/>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4"/>
        <w:lang w:val="en-ID" w:eastAsia="zh-CN"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13CC"/>
  </w:style>
  <w:style w:type="paragraph" w:styleId="Heading1">
    <w:name w:val="heading 1"/>
    <w:basedOn w:val="Normal"/>
    <w:next w:val="Normal"/>
    <w:link w:val="Heading1Char"/>
    <w:uiPriority w:val="9"/>
    <w:qFormat/>
    <w:rsid w:val="0022235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2235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2235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2235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2235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223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23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23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23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235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2235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2235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2235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2235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223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23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23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235A"/>
    <w:rPr>
      <w:rFonts w:eastAsiaTheme="majorEastAsia" w:cstheme="majorBidi"/>
      <w:color w:val="272727" w:themeColor="text1" w:themeTint="D8"/>
    </w:rPr>
  </w:style>
  <w:style w:type="paragraph" w:styleId="Title">
    <w:name w:val="Title"/>
    <w:basedOn w:val="Normal"/>
    <w:next w:val="Normal"/>
    <w:link w:val="TitleChar"/>
    <w:uiPriority w:val="10"/>
    <w:qFormat/>
    <w:rsid w:val="002223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23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23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23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235A"/>
    <w:pPr>
      <w:spacing w:before="160"/>
      <w:jc w:val="center"/>
    </w:pPr>
    <w:rPr>
      <w:i/>
      <w:iCs/>
      <w:color w:val="404040" w:themeColor="text1" w:themeTint="BF"/>
    </w:rPr>
  </w:style>
  <w:style w:type="character" w:customStyle="1" w:styleId="QuoteChar">
    <w:name w:val="Quote Char"/>
    <w:basedOn w:val="DefaultParagraphFont"/>
    <w:link w:val="Quote"/>
    <w:uiPriority w:val="29"/>
    <w:rsid w:val="0022235A"/>
    <w:rPr>
      <w:i/>
      <w:iCs/>
      <w:color w:val="404040" w:themeColor="text1" w:themeTint="BF"/>
    </w:rPr>
  </w:style>
  <w:style w:type="paragraph" w:styleId="ListParagraph">
    <w:name w:val="List Paragraph"/>
    <w:basedOn w:val="Normal"/>
    <w:uiPriority w:val="34"/>
    <w:qFormat/>
    <w:rsid w:val="0022235A"/>
    <w:pPr>
      <w:ind w:left="720"/>
      <w:contextualSpacing/>
    </w:pPr>
  </w:style>
  <w:style w:type="character" w:styleId="IntenseEmphasis">
    <w:name w:val="Intense Emphasis"/>
    <w:basedOn w:val="DefaultParagraphFont"/>
    <w:uiPriority w:val="21"/>
    <w:qFormat/>
    <w:rsid w:val="0022235A"/>
    <w:rPr>
      <w:i/>
      <w:iCs/>
      <w:color w:val="2F5496" w:themeColor="accent1" w:themeShade="BF"/>
    </w:rPr>
  </w:style>
  <w:style w:type="paragraph" w:styleId="IntenseQuote">
    <w:name w:val="Intense Quote"/>
    <w:basedOn w:val="Normal"/>
    <w:next w:val="Normal"/>
    <w:link w:val="IntenseQuoteChar"/>
    <w:uiPriority w:val="30"/>
    <w:qFormat/>
    <w:rsid w:val="0022235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2235A"/>
    <w:rPr>
      <w:i/>
      <w:iCs/>
      <w:color w:val="2F5496" w:themeColor="accent1" w:themeShade="BF"/>
    </w:rPr>
  </w:style>
  <w:style w:type="character" w:styleId="IntenseReference">
    <w:name w:val="Intense Reference"/>
    <w:basedOn w:val="DefaultParagraphFont"/>
    <w:uiPriority w:val="32"/>
    <w:qFormat/>
    <w:rsid w:val="0022235A"/>
    <w:rPr>
      <w:b/>
      <w:bCs/>
      <w:smallCaps/>
      <w:color w:val="2F5496" w:themeColor="accent1" w:themeShade="BF"/>
      <w:spacing w:val="5"/>
    </w:rPr>
  </w:style>
  <w:style w:type="character" w:styleId="Hyperlink">
    <w:name w:val="Hyperlink"/>
    <w:basedOn w:val="DefaultParagraphFont"/>
    <w:uiPriority w:val="99"/>
    <w:unhideWhenUsed/>
    <w:rsid w:val="0022235A"/>
    <w:rPr>
      <w:color w:val="0563C1" w:themeColor="hyperlink"/>
      <w:u w:val="single"/>
    </w:rPr>
  </w:style>
  <w:style w:type="character" w:customStyle="1" w:styleId="UnresolvedMention">
    <w:name w:val="Unresolved Mention"/>
    <w:basedOn w:val="DefaultParagraphFont"/>
    <w:uiPriority w:val="99"/>
    <w:semiHidden/>
    <w:unhideWhenUsed/>
    <w:rsid w:val="0022235A"/>
    <w:rPr>
      <w:color w:val="605E5C"/>
      <w:shd w:val="clear" w:color="auto" w:fill="E1DFDD"/>
    </w:rPr>
  </w:style>
  <w:style w:type="paragraph" w:styleId="FootnoteText">
    <w:name w:val="footnote text"/>
    <w:basedOn w:val="Normal"/>
    <w:link w:val="FootnoteTextChar"/>
    <w:uiPriority w:val="99"/>
    <w:semiHidden/>
    <w:unhideWhenUsed/>
    <w:rsid w:val="00CD75F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D75F1"/>
    <w:rPr>
      <w:sz w:val="20"/>
      <w:szCs w:val="20"/>
    </w:rPr>
  </w:style>
  <w:style w:type="character" w:styleId="FootnoteReference">
    <w:name w:val="footnote reference"/>
    <w:basedOn w:val="DefaultParagraphFont"/>
    <w:uiPriority w:val="99"/>
    <w:semiHidden/>
    <w:unhideWhenUsed/>
    <w:rsid w:val="00CD75F1"/>
    <w:rPr>
      <w:vertAlign w:val="superscript"/>
    </w:rPr>
  </w:style>
  <w:style w:type="character" w:styleId="EndnoteReference">
    <w:name w:val="endnote reference"/>
    <w:basedOn w:val="DefaultParagraphFont"/>
    <w:uiPriority w:val="99"/>
    <w:semiHidden/>
    <w:unhideWhenUsed/>
    <w:rsid w:val="003D3466"/>
    <w:rPr>
      <w:vertAlign w:val="superscript"/>
    </w:rPr>
  </w:style>
  <w:style w:type="paragraph" w:styleId="Header">
    <w:name w:val="header"/>
    <w:basedOn w:val="Normal"/>
    <w:link w:val="HeaderChar"/>
    <w:uiPriority w:val="99"/>
    <w:unhideWhenUsed/>
    <w:rsid w:val="003D34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3466"/>
  </w:style>
  <w:style w:type="paragraph" w:styleId="Footer">
    <w:name w:val="footer"/>
    <w:basedOn w:val="Normal"/>
    <w:link w:val="FooterChar"/>
    <w:uiPriority w:val="99"/>
    <w:unhideWhenUsed/>
    <w:rsid w:val="003D34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3466"/>
  </w:style>
  <w:style w:type="paragraph" w:styleId="BalloonText">
    <w:name w:val="Balloon Text"/>
    <w:basedOn w:val="Normal"/>
    <w:link w:val="BalloonTextChar"/>
    <w:uiPriority w:val="99"/>
    <w:semiHidden/>
    <w:unhideWhenUsed/>
    <w:rsid w:val="00096D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6D9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1152610">
      <w:bodyDiv w:val="1"/>
      <w:marLeft w:val="0"/>
      <w:marRight w:val="0"/>
      <w:marTop w:val="0"/>
      <w:marBottom w:val="0"/>
      <w:divBdr>
        <w:top w:val="none" w:sz="0" w:space="0" w:color="auto"/>
        <w:left w:val="none" w:sz="0" w:space="0" w:color="auto"/>
        <w:bottom w:val="none" w:sz="0" w:space="0" w:color="auto"/>
        <w:right w:val="none" w:sz="0" w:space="0" w:color="auto"/>
      </w:divBdr>
    </w:div>
    <w:div w:id="31810583">
      <w:bodyDiv w:val="1"/>
      <w:marLeft w:val="0"/>
      <w:marRight w:val="0"/>
      <w:marTop w:val="0"/>
      <w:marBottom w:val="0"/>
      <w:divBdr>
        <w:top w:val="none" w:sz="0" w:space="0" w:color="auto"/>
        <w:left w:val="none" w:sz="0" w:space="0" w:color="auto"/>
        <w:bottom w:val="none" w:sz="0" w:space="0" w:color="auto"/>
        <w:right w:val="none" w:sz="0" w:space="0" w:color="auto"/>
      </w:divBdr>
    </w:div>
    <w:div w:id="62988957">
      <w:bodyDiv w:val="1"/>
      <w:marLeft w:val="0"/>
      <w:marRight w:val="0"/>
      <w:marTop w:val="0"/>
      <w:marBottom w:val="0"/>
      <w:divBdr>
        <w:top w:val="none" w:sz="0" w:space="0" w:color="auto"/>
        <w:left w:val="none" w:sz="0" w:space="0" w:color="auto"/>
        <w:bottom w:val="none" w:sz="0" w:space="0" w:color="auto"/>
        <w:right w:val="none" w:sz="0" w:space="0" w:color="auto"/>
      </w:divBdr>
    </w:div>
    <w:div w:id="69237934">
      <w:bodyDiv w:val="1"/>
      <w:marLeft w:val="0"/>
      <w:marRight w:val="0"/>
      <w:marTop w:val="0"/>
      <w:marBottom w:val="0"/>
      <w:divBdr>
        <w:top w:val="none" w:sz="0" w:space="0" w:color="auto"/>
        <w:left w:val="none" w:sz="0" w:space="0" w:color="auto"/>
        <w:bottom w:val="none" w:sz="0" w:space="0" w:color="auto"/>
        <w:right w:val="none" w:sz="0" w:space="0" w:color="auto"/>
      </w:divBdr>
    </w:div>
    <w:div w:id="71199570">
      <w:bodyDiv w:val="1"/>
      <w:marLeft w:val="0"/>
      <w:marRight w:val="0"/>
      <w:marTop w:val="0"/>
      <w:marBottom w:val="0"/>
      <w:divBdr>
        <w:top w:val="none" w:sz="0" w:space="0" w:color="auto"/>
        <w:left w:val="none" w:sz="0" w:space="0" w:color="auto"/>
        <w:bottom w:val="none" w:sz="0" w:space="0" w:color="auto"/>
        <w:right w:val="none" w:sz="0" w:space="0" w:color="auto"/>
      </w:divBdr>
    </w:div>
    <w:div w:id="88545426">
      <w:bodyDiv w:val="1"/>
      <w:marLeft w:val="0"/>
      <w:marRight w:val="0"/>
      <w:marTop w:val="0"/>
      <w:marBottom w:val="0"/>
      <w:divBdr>
        <w:top w:val="none" w:sz="0" w:space="0" w:color="auto"/>
        <w:left w:val="none" w:sz="0" w:space="0" w:color="auto"/>
        <w:bottom w:val="none" w:sz="0" w:space="0" w:color="auto"/>
        <w:right w:val="none" w:sz="0" w:space="0" w:color="auto"/>
      </w:divBdr>
    </w:div>
    <w:div w:id="91320240">
      <w:bodyDiv w:val="1"/>
      <w:marLeft w:val="0"/>
      <w:marRight w:val="0"/>
      <w:marTop w:val="0"/>
      <w:marBottom w:val="0"/>
      <w:divBdr>
        <w:top w:val="none" w:sz="0" w:space="0" w:color="auto"/>
        <w:left w:val="none" w:sz="0" w:space="0" w:color="auto"/>
        <w:bottom w:val="none" w:sz="0" w:space="0" w:color="auto"/>
        <w:right w:val="none" w:sz="0" w:space="0" w:color="auto"/>
      </w:divBdr>
    </w:div>
    <w:div w:id="130368413">
      <w:bodyDiv w:val="1"/>
      <w:marLeft w:val="0"/>
      <w:marRight w:val="0"/>
      <w:marTop w:val="0"/>
      <w:marBottom w:val="0"/>
      <w:divBdr>
        <w:top w:val="none" w:sz="0" w:space="0" w:color="auto"/>
        <w:left w:val="none" w:sz="0" w:space="0" w:color="auto"/>
        <w:bottom w:val="none" w:sz="0" w:space="0" w:color="auto"/>
        <w:right w:val="none" w:sz="0" w:space="0" w:color="auto"/>
      </w:divBdr>
    </w:div>
    <w:div w:id="136386696">
      <w:bodyDiv w:val="1"/>
      <w:marLeft w:val="0"/>
      <w:marRight w:val="0"/>
      <w:marTop w:val="0"/>
      <w:marBottom w:val="0"/>
      <w:divBdr>
        <w:top w:val="none" w:sz="0" w:space="0" w:color="auto"/>
        <w:left w:val="none" w:sz="0" w:space="0" w:color="auto"/>
        <w:bottom w:val="none" w:sz="0" w:space="0" w:color="auto"/>
        <w:right w:val="none" w:sz="0" w:space="0" w:color="auto"/>
      </w:divBdr>
    </w:div>
    <w:div w:id="148133112">
      <w:bodyDiv w:val="1"/>
      <w:marLeft w:val="0"/>
      <w:marRight w:val="0"/>
      <w:marTop w:val="0"/>
      <w:marBottom w:val="0"/>
      <w:divBdr>
        <w:top w:val="none" w:sz="0" w:space="0" w:color="auto"/>
        <w:left w:val="none" w:sz="0" w:space="0" w:color="auto"/>
        <w:bottom w:val="none" w:sz="0" w:space="0" w:color="auto"/>
        <w:right w:val="none" w:sz="0" w:space="0" w:color="auto"/>
      </w:divBdr>
    </w:div>
    <w:div w:id="219751338">
      <w:bodyDiv w:val="1"/>
      <w:marLeft w:val="0"/>
      <w:marRight w:val="0"/>
      <w:marTop w:val="0"/>
      <w:marBottom w:val="0"/>
      <w:divBdr>
        <w:top w:val="none" w:sz="0" w:space="0" w:color="auto"/>
        <w:left w:val="none" w:sz="0" w:space="0" w:color="auto"/>
        <w:bottom w:val="none" w:sz="0" w:space="0" w:color="auto"/>
        <w:right w:val="none" w:sz="0" w:space="0" w:color="auto"/>
      </w:divBdr>
    </w:div>
    <w:div w:id="235097443">
      <w:bodyDiv w:val="1"/>
      <w:marLeft w:val="0"/>
      <w:marRight w:val="0"/>
      <w:marTop w:val="0"/>
      <w:marBottom w:val="0"/>
      <w:divBdr>
        <w:top w:val="none" w:sz="0" w:space="0" w:color="auto"/>
        <w:left w:val="none" w:sz="0" w:space="0" w:color="auto"/>
        <w:bottom w:val="none" w:sz="0" w:space="0" w:color="auto"/>
        <w:right w:val="none" w:sz="0" w:space="0" w:color="auto"/>
      </w:divBdr>
    </w:div>
    <w:div w:id="255404286">
      <w:bodyDiv w:val="1"/>
      <w:marLeft w:val="0"/>
      <w:marRight w:val="0"/>
      <w:marTop w:val="0"/>
      <w:marBottom w:val="0"/>
      <w:divBdr>
        <w:top w:val="none" w:sz="0" w:space="0" w:color="auto"/>
        <w:left w:val="none" w:sz="0" w:space="0" w:color="auto"/>
        <w:bottom w:val="none" w:sz="0" w:space="0" w:color="auto"/>
        <w:right w:val="none" w:sz="0" w:space="0" w:color="auto"/>
      </w:divBdr>
    </w:div>
    <w:div w:id="377511432">
      <w:bodyDiv w:val="1"/>
      <w:marLeft w:val="0"/>
      <w:marRight w:val="0"/>
      <w:marTop w:val="0"/>
      <w:marBottom w:val="0"/>
      <w:divBdr>
        <w:top w:val="none" w:sz="0" w:space="0" w:color="auto"/>
        <w:left w:val="none" w:sz="0" w:space="0" w:color="auto"/>
        <w:bottom w:val="none" w:sz="0" w:space="0" w:color="auto"/>
        <w:right w:val="none" w:sz="0" w:space="0" w:color="auto"/>
      </w:divBdr>
    </w:div>
    <w:div w:id="382869007">
      <w:bodyDiv w:val="1"/>
      <w:marLeft w:val="0"/>
      <w:marRight w:val="0"/>
      <w:marTop w:val="0"/>
      <w:marBottom w:val="0"/>
      <w:divBdr>
        <w:top w:val="none" w:sz="0" w:space="0" w:color="auto"/>
        <w:left w:val="none" w:sz="0" w:space="0" w:color="auto"/>
        <w:bottom w:val="none" w:sz="0" w:space="0" w:color="auto"/>
        <w:right w:val="none" w:sz="0" w:space="0" w:color="auto"/>
      </w:divBdr>
    </w:div>
    <w:div w:id="442769958">
      <w:bodyDiv w:val="1"/>
      <w:marLeft w:val="0"/>
      <w:marRight w:val="0"/>
      <w:marTop w:val="0"/>
      <w:marBottom w:val="0"/>
      <w:divBdr>
        <w:top w:val="none" w:sz="0" w:space="0" w:color="auto"/>
        <w:left w:val="none" w:sz="0" w:space="0" w:color="auto"/>
        <w:bottom w:val="none" w:sz="0" w:space="0" w:color="auto"/>
        <w:right w:val="none" w:sz="0" w:space="0" w:color="auto"/>
      </w:divBdr>
    </w:div>
    <w:div w:id="463235608">
      <w:bodyDiv w:val="1"/>
      <w:marLeft w:val="0"/>
      <w:marRight w:val="0"/>
      <w:marTop w:val="0"/>
      <w:marBottom w:val="0"/>
      <w:divBdr>
        <w:top w:val="none" w:sz="0" w:space="0" w:color="auto"/>
        <w:left w:val="none" w:sz="0" w:space="0" w:color="auto"/>
        <w:bottom w:val="none" w:sz="0" w:space="0" w:color="auto"/>
        <w:right w:val="none" w:sz="0" w:space="0" w:color="auto"/>
      </w:divBdr>
    </w:div>
    <w:div w:id="487864903">
      <w:bodyDiv w:val="1"/>
      <w:marLeft w:val="0"/>
      <w:marRight w:val="0"/>
      <w:marTop w:val="0"/>
      <w:marBottom w:val="0"/>
      <w:divBdr>
        <w:top w:val="none" w:sz="0" w:space="0" w:color="auto"/>
        <w:left w:val="none" w:sz="0" w:space="0" w:color="auto"/>
        <w:bottom w:val="none" w:sz="0" w:space="0" w:color="auto"/>
        <w:right w:val="none" w:sz="0" w:space="0" w:color="auto"/>
      </w:divBdr>
    </w:div>
    <w:div w:id="560870373">
      <w:bodyDiv w:val="1"/>
      <w:marLeft w:val="0"/>
      <w:marRight w:val="0"/>
      <w:marTop w:val="0"/>
      <w:marBottom w:val="0"/>
      <w:divBdr>
        <w:top w:val="none" w:sz="0" w:space="0" w:color="auto"/>
        <w:left w:val="none" w:sz="0" w:space="0" w:color="auto"/>
        <w:bottom w:val="none" w:sz="0" w:space="0" w:color="auto"/>
        <w:right w:val="none" w:sz="0" w:space="0" w:color="auto"/>
      </w:divBdr>
    </w:div>
    <w:div w:id="594285636">
      <w:bodyDiv w:val="1"/>
      <w:marLeft w:val="0"/>
      <w:marRight w:val="0"/>
      <w:marTop w:val="0"/>
      <w:marBottom w:val="0"/>
      <w:divBdr>
        <w:top w:val="none" w:sz="0" w:space="0" w:color="auto"/>
        <w:left w:val="none" w:sz="0" w:space="0" w:color="auto"/>
        <w:bottom w:val="none" w:sz="0" w:space="0" w:color="auto"/>
        <w:right w:val="none" w:sz="0" w:space="0" w:color="auto"/>
      </w:divBdr>
    </w:div>
    <w:div w:id="602149213">
      <w:bodyDiv w:val="1"/>
      <w:marLeft w:val="0"/>
      <w:marRight w:val="0"/>
      <w:marTop w:val="0"/>
      <w:marBottom w:val="0"/>
      <w:divBdr>
        <w:top w:val="none" w:sz="0" w:space="0" w:color="auto"/>
        <w:left w:val="none" w:sz="0" w:space="0" w:color="auto"/>
        <w:bottom w:val="none" w:sz="0" w:space="0" w:color="auto"/>
        <w:right w:val="none" w:sz="0" w:space="0" w:color="auto"/>
      </w:divBdr>
    </w:div>
    <w:div w:id="634919640">
      <w:bodyDiv w:val="1"/>
      <w:marLeft w:val="0"/>
      <w:marRight w:val="0"/>
      <w:marTop w:val="0"/>
      <w:marBottom w:val="0"/>
      <w:divBdr>
        <w:top w:val="none" w:sz="0" w:space="0" w:color="auto"/>
        <w:left w:val="none" w:sz="0" w:space="0" w:color="auto"/>
        <w:bottom w:val="none" w:sz="0" w:space="0" w:color="auto"/>
        <w:right w:val="none" w:sz="0" w:space="0" w:color="auto"/>
      </w:divBdr>
    </w:div>
    <w:div w:id="639308262">
      <w:bodyDiv w:val="1"/>
      <w:marLeft w:val="0"/>
      <w:marRight w:val="0"/>
      <w:marTop w:val="0"/>
      <w:marBottom w:val="0"/>
      <w:divBdr>
        <w:top w:val="none" w:sz="0" w:space="0" w:color="auto"/>
        <w:left w:val="none" w:sz="0" w:space="0" w:color="auto"/>
        <w:bottom w:val="none" w:sz="0" w:space="0" w:color="auto"/>
        <w:right w:val="none" w:sz="0" w:space="0" w:color="auto"/>
      </w:divBdr>
    </w:div>
    <w:div w:id="660738608">
      <w:bodyDiv w:val="1"/>
      <w:marLeft w:val="0"/>
      <w:marRight w:val="0"/>
      <w:marTop w:val="0"/>
      <w:marBottom w:val="0"/>
      <w:divBdr>
        <w:top w:val="none" w:sz="0" w:space="0" w:color="auto"/>
        <w:left w:val="none" w:sz="0" w:space="0" w:color="auto"/>
        <w:bottom w:val="none" w:sz="0" w:space="0" w:color="auto"/>
        <w:right w:val="none" w:sz="0" w:space="0" w:color="auto"/>
      </w:divBdr>
    </w:div>
    <w:div w:id="691565586">
      <w:bodyDiv w:val="1"/>
      <w:marLeft w:val="0"/>
      <w:marRight w:val="0"/>
      <w:marTop w:val="0"/>
      <w:marBottom w:val="0"/>
      <w:divBdr>
        <w:top w:val="none" w:sz="0" w:space="0" w:color="auto"/>
        <w:left w:val="none" w:sz="0" w:space="0" w:color="auto"/>
        <w:bottom w:val="none" w:sz="0" w:space="0" w:color="auto"/>
        <w:right w:val="none" w:sz="0" w:space="0" w:color="auto"/>
      </w:divBdr>
    </w:div>
    <w:div w:id="694886891">
      <w:bodyDiv w:val="1"/>
      <w:marLeft w:val="0"/>
      <w:marRight w:val="0"/>
      <w:marTop w:val="0"/>
      <w:marBottom w:val="0"/>
      <w:divBdr>
        <w:top w:val="none" w:sz="0" w:space="0" w:color="auto"/>
        <w:left w:val="none" w:sz="0" w:space="0" w:color="auto"/>
        <w:bottom w:val="none" w:sz="0" w:space="0" w:color="auto"/>
        <w:right w:val="none" w:sz="0" w:space="0" w:color="auto"/>
      </w:divBdr>
    </w:div>
    <w:div w:id="864749869">
      <w:bodyDiv w:val="1"/>
      <w:marLeft w:val="0"/>
      <w:marRight w:val="0"/>
      <w:marTop w:val="0"/>
      <w:marBottom w:val="0"/>
      <w:divBdr>
        <w:top w:val="none" w:sz="0" w:space="0" w:color="auto"/>
        <w:left w:val="none" w:sz="0" w:space="0" w:color="auto"/>
        <w:bottom w:val="none" w:sz="0" w:space="0" w:color="auto"/>
        <w:right w:val="none" w:sz="0" w:space="0" w:color="auto"/>
      </w:divBdr>
    </w:div>
    <w:div w:id="872570574">
      <w:bodyDiv w:val="1"/>
      <w:marLeft w:val="0"/>
      <w:marRight w:val="0"/>
      <w:marTop w:val="0"/>
      <w:marBottom w:val="0"/>
      <w:divBdr>
        <w:top w:val="none" w:sz="0" w:space="0" w:color="auto"/>
        <w:left w:val="none" w:sz="0" w:space="0" w:color="auto"/>
        <w:bottom w:val="none" w:sz="0" w:space="0" w:color="auto"/>
        <w:right w:val="none" w:sz="0" w:space="0" w:color="auto"/>
      </w:divBdr>
    </w:div>
    <w:div w:id="895777937">
      <w:bodyDiv w:val="1"/>
      <w:marLeft w:val="0"/>
      <w:marRight w:val="0"/>
      <w:marTop w:val="0"/>
      <w:marBottom w:val="0"/>
      <w:divBdr>
        <w:top w:val="none" w:sz="0" w:space="0" w:color="auto"/>
        <w:left w:val="none" w:sz="0" w:space="0" w:color="auto"/>
        <w:bottom w:val="none" w:sz="0" w:space="0" w:color="auto"/>
        <w:right w:val="none" w:sz="0" w:space="0" w:color="auto"/>
      </w:divBdr>
    </w:div>
    <w:div w:id="904026735">
      <w:bodyDiv w:val="1"/>
      <w:marLeft w:val="0"/>
      <w:marRight w:val="0"/>
      <w:marTop w:val="0"/>
      <w:marBottom w:val="0"/>
      <w:divBdr>
        <w:top w:val="none" w:sz="0" w:space="0" w:color="auto"/>
        <w:left w:val="none" w:sz="0" w:space="0" w:color="auto"/>
        <w:bottom w:val="none" w:sz="0" w:space="0" w:color="auto"/>
        <w:right w:val="none" w:sz="0" w:space="0" w:color="auto"/>
      </w:divBdr>
    </w:div>
    <w:div w:id="919632729">
      <w:bodyDiv w:val="1"/>
      <w:marLeft w:val="0"/>
      <w:marRight w:val="0"/>
      <w:marTop w:val="0"/>
      <w:marBottom w:val="0"/>
      <w:divBdr>
        <w:top w:val="none" w:sz="0" w:space="0" w:color="auto"/>
        <w:left w:val="none" w:sz="0" w:space="0" w:color="auto"/>
        <w:bottom w:val="none" w:sz="0" w:space="0" w:color="auto"/>
        <w:right w:val="none" w:sz="0" w:space="0" w:color="auto"/>
      </w:divBdr>
    </w:div>
    <w:div w:id="945503443">
      <w:bodyDiv w:val="1"/>
      <w:marLeft w:val="0"/>
      <w:marRight w:val="0"/>
      <w:marTop w:val="0"/>
      <w:marBottom w:val="0"/>
      <w:divBdr>
        <w:top w:val="none" w:sz="0" w:space="0" w:color="auto"/>
        <w:left w:val="none" w:sz="0" w:space="0" w:color="auto"/>
        <w:bottom w:val="none" w:sz="0" w:space="0" w:color="auto"/>
        <w:right w:val="none" w:sz="0" w:space="0" w:color="auto"/>
      </w:divBdr>
    </w:div>
    <w:div w:id="1117676122">
      <w:bodyDiv w:val="1"/>
      <w:marLeft w:val="0"/>
      <w:marRight w:val="0"/>
      <w:marTop w:val="0"/>
      <w:marBottom w:val="0"/>
      <w:divBdr>
        <w:top w:val="none" w:sz="0" w:space="0" w:color="auto"/>
        <w:left w:val="none" w:sz="0" w:space="0" w:color="auto"/>
        <w:bottom w:val="none" w:sz="0" w:space="0" w:color="auto"/>
        <w:right w:val="none" w:sz="0" w:space="0" w:color="auto"/>
      </w:divBdr>
    </w:div>
    <w:div w:id="1136751657">
      <w:bodyDiv w:val="1"/>
      <w:marLeft w:val="0"/>
      <w:marRight w:val="0"/>
      <w:marTop w:val="0"/>
      <w:marBottom w:val="0"/>
      <w:divBdr>
        <w:top w:val="none" w:sz="0" w:space="0" w:color="auto"/>
        <w:left w:val="none" w:sz="0" w:space="0" w:color="auto"/>
        <w:bottom w:val="none" w:sz="0" w:space="0" w:color="auto"/>
        <w:right w:val="none" w:sz="0" w:space="0" w:color="auto"/>
      </w:divBdr>
    </w:div>
    <w:div w:id="1190222853">
      <w:bodyDiv w:val="1"/>
      <w:marLeft w:val="0"/>
      <w:marRight w:val="0"/>
      <w:marTop w:val="0"/>
      <w:marBottom w:val="0"/>
      <w:divBdr>
        <w:top w:val="none" w:sz="0" w:space="0" w:color="auto"/>
        <w:left w:val="none" w:sz="0" w:space="0" w:color="auto"/>
        <w:bottom w:val="none" w:sz="0" w:space="0" w:color="auto"/>
        <w:right w:val="none" w:sz="0" w:space="0" w:color="auto"/>
      </w:divBdr>
    </w:div>
    <w:div w:id="1202671634">
      <w:bodyDiv w:val="1"/>
      <w:marLeft w:val="0"/>
      <w:marRight w:val="0"/>
      <w:marTop w:val="0"/>
      <w:marBottom w:val="0"/>
      <w:divBdr>
        <w:top w:val="none" w:sz="0" w:space="0" w:color="auto"/>
        <w:left w:val="none" w:sz="0" w:space="0" w:color="auto"/>
        <w:bottom w:val="none" w:sz="0" w:space="0" w:color="auto"/>
        <w:right w:val="none" w:sz="0" w:space="0" w:color="auto"/>
      </w:divBdr>
    </w:div>
    <w:div w:id="1210262552">
      <w:bodyDiv w:val="1"/>
      <w:marLeft w:val="0"/>
      <w:marRight w:val="0"/>
      <w:marTop w:val="0"/>
      <w:marBottom w:val="0"/>
      <w:divBdr>
        <w:top w:val="none" w:sz="0" w:space="0" w:color="auto"/>
        <w:left w:val="none" w:sz="0" w:space="0" w:color="auto"/>
        <w:bottom w:val="none" w:sz="0" w:space="0" w:color="auto"/>
        <w:right w:val="none" w:sz="0" w:space="0" w:color="auto"/>
      </w:divBdr>
    </w:div>
    <w:div w:id="1286958583">
      <w:bodyDiv w:val="1"/>
      <w:marLeft w:val="0"/>
      <w:marRight w:val="0"/>
      <w:marTop w:val="0"/>
      <w:marBottom w:val="0"/>
      <w:divBdr>
        <w:top w:val="none" w:sz="0" w:space="0" w:color="auto"/>
        <w:left w:val="none" w:sz="0" w:space="0" w:color="auto"/>
        <w:bottom w:val="none" w:sz="0" w:space="0" w:color="auto"/>
        <w:right w:val="none" w:sz="0" w:space="0" w:color="auto"/>
      </w:divBdr>
    </w:div>
    <w:div w:id="1292128632">
      <w:bodyDiv w:val="1"/>
      <w:marLeft w:val="0"/>
      <w:marRight w:val="0"/>
      <w:marTop w:val="0"/>
      <w:marBottom w:val="0"/>
      <w:divBdr>
        <w:top w:val="none" w:sz="0" w:space="0" w:color="auto"/>
        <w:left w:val="none" w:sz="0" w:space="0" w:color="auto"/>
        <w:bottom w:val="none" w:sz="0" w:space="0" w:color="auto"/>
        <w:right w:val="none" w:sz="0" w:space="0" w:color="auto"/>
      </w:divBdr>
    </w:div>
    <w:div w:id="1297222663">
      <w:bodyDiv w:val="1"/>
      <w:marLeft w:val="0"/>
      <w:marRight w:val="0"/>
      <w:marTop w:val="0"/>
      <w:marBottom w:val="0"/>
      <w:divBdr>
        <w:top w:val="none" w:sz="0" w:space="0" w:color="auto"/>
        <w:left w:val="none" w:sz="0" w:space="0" w:color="auto"/>
        <w:bottom w:val="none" w:sz="0" w:space="0" w:color="auto"/>
        <w:right w:val="none" w:sz="0" w:space="0" w:color="auto"/>
      </w:divBdr>
    </w:div>
    <w:div w:id="1352533266">
      <w:bodyDiv w:val="1"/>
      <w:marLeft w:val="0"/>
      <w:marRight w:val="0"/>
      <w:marTop w:val="0"/>
      <w:marBottom w:val="0"/>
      <w:divBdr>
        <w:top w:val="none" w:sz="0" w:space="0" w:color="auto"/>
        <w:left w:val="none" w:sz="0" w:space="0" w:color="auto"/>
        <w:bottom w:val="none" w:sz="0" w:space="0" w:color="auto"/>
        <w:right w:val="none" w:sz="0" w:space="0" w:color="auto"/>
      </w:divBdr>
      <w:divsChild>
        <w:div w:id="857237056">
          <w:marLeft w:val="0"/>
          <w:marRight w:val="0"/>
          <w:marTop w:val="0"/>
          <w:marBottom w:val="0"/>
          <w:divBdr>
            <w:top w:val="none" w:sz="0" w:space="0" w:color="auto"/>
            <w:left w:val="none" w:sz="0" w:space="0" w:color="auto"/>
            <w:bottom w:val="none" w:sz="0" w:space="0" w:color="auto"/>
            <w:right w:val="none" w:sz="0" w:space="0" w:color="auto"/>
          </w:divBdr>
          <w:divsChild>
            <w:div w:id="1006783728">
              <w:marLeft w:val="0"/>
              <w:marRight w:val="0"/>
              <w:marTop w:val="0"/>
              <w:marBottom w:val="0"/>
              <w:divBdr>
                <w:top w:val="none" w:sz="0" w:space="0" w:color="auto"/>
                <w:left w:val="none" w:sz="0" w:space="0" w:color="auto"/>
                <w:bottom w:val="none" w:sz="0" w:space="0" w:color="auto"/>
                <w:right w:val="none" w:sz="0" w:space="0" w:color="auto"/>
              </w:divBdr>
              <w:divsChild>
                <w:div w:id="1285767417">
                  <w:marLeft w:val="0"/>
                  <w:marRight w:val="0"/>
                  <w:marTop w:val="0"/>
                  <w:marBottom w:val="0"/>
                  <w:divBdr>
                    <w:top w:val="none" w:sz="0" w:space="0" w:color="auto"/>
                    <w:left w:val="none" w:sz="0" w:space="0" w:color="auto"/>
                    <w:bottom w:val="none" w:sz="0" w:space="0" w:color="auto"/>
                    <w:right w:val="none" w:sz="0" w:space="0" w:color="auto"/>
                  </w:divBdr>
                  <w:divsChild>
                    <w:div w:id="2072074602">
                      <w:marLeft w:val="0"/>
                      <w:marRight w:val="0"/>
                      <w:marTop w:val="0"/>
                      <w:marBottom w:val="0"/>
                      <w:divBdr>
                        <w:top w:val="none" w:sz="0" w:space="0" w:color="auto"/>
                        <w:left w:val="none" w:sz="0" w:space="0" w:color="auto"/>
                        <w:bottom w:val="none" w:sz="0" w:space="0" w:color="auto"/>
                        <w:right w:val="none" w:sz="0" w:space="0" w:color="auto"/>
                      </w:divBdr>
                      <w:divsChild>
                        <w:div w:id="637799942">
                          <w:marLeft w:val="0"/>
                          <w:marRight w:val="0"/>
                          <w:marTop w:val="0"/>
                          <w:marBottom w:val="0"/>
                          <w:divBdr>
                            <w:top w:val="none" w:sz="0" w:space="0" w:color="auto"/>
                            <w:left w:val="none" w:sz="0" w:space="0" w:color="auto"/>
                            <w:bottom w:val="none" w:sz="0" w:space="0" w:color="auto"/>
                            <w:right w:val="none" w:sz="0" w:space="0" w:color="auto"/>
                          </w:divBdr>
                          <w:divsChild>
                            <w:div w:id="1381976233">
                              <w:marLeft w:val="0"/>
                              <w:marRight w:val="0"/>
                              <w:marTop w:val="0"/>
                              <w:marBottom w:val="0"/>
                              <w:divBdr>
                                <w:top w:val="none" w:sz="0" w:space="0" w:color="auto"/>
                                <w:left w:val="none" w:sz="0" w:space="0" w:color="auto"/>
                                <w:bottom w:val="none" w:sz="0" w:space="0" w:color="auto"/>
                                <w:right w:val="none" w:sz="0" w:space="0" w:color="auto"/>
                              </w:divBdr>
                              <w:divsChild>
                                <w:div w:id="854416169">
                                  <w:marLeft w:val="0"/>
                                  <w:marRight w:val="0"/>
                                  <w:marTop w:val="0"/>
                                  <w:marBottom w:val="0"/>
                                  <w:divBdr>
                                    <w:top w:val="none" w:sz="0" w:space="0" w:color="auto"/>
                                    <w:left w:val="none" w:sz="0" w:space="0" w:color="auto"/>
                                    <w:bottom w:val="none" w:sz="0" w:space="0" w:color="auto"/>
                                    <w:right w:val="none" w:sz="0" w:space="0" w:color="auto"/>
                                  </w:divBdr>
                                  <w:divsChild>
                                    <w:div w:id="1411658890">
                                      <w:marLeft w:val="0"/>
                                      <w:marRight w:val="0"/>
                                      <w:marTop w:val="0"/>
                                      <w:marBottom w:val="0"/>
                                      <w:divBdr>
                                        <w:top w:val="none" w:sz="0" w:space="0" w:color="auto"/>
                                        <w:left w:val="none" w:sz="0" w:space="0" w:color="auto"/>
                                        <w:bottom w:val="none" w:sz="0" w:space="0" w:color="auto"/>
                                        <w:right w:val="none" w:sz="0" w:space="0" w:color="auto"/>
                                      </w:divBdr>
                                      <w:divsChild>
                                        <w:div w:id="1809471349">
                                          <w:marLeft w:val="0"/>
                                          <w:marRight w:val="0"/>
                                          <w:marTop w:val="0"/>
                                          <w:marBottom w:val="0"/>
                                          <w:divBdr>
                                            <w:top w:val="none" w:sz="0" w:space="0" w:color="auto"/>
                                            <w:left w:val="none" w:sz="0" w:space="0" w:color="auto"/>
                                            <w:bottom w:val="none" w:sz="0" w:space="0" w:color="auto"/>
                                            <w:right w:val="none" w:sz="0" w:space="0" w:color="auto"/>
                                          </w:divBdr>
                                          <w:divsChild>
                                            <w:div w:id="1497183522">
                                              <w:marLeft w:val="0"/>
                                              <w:marRight w:val="0"/>
                                              <w:marTop w:val="0"/>
                                              <w:marBottom w:val="0"/>
                                              <w:divBdr>
                                                <w:top w:val="none" w:sz="0" w:space="0" w:color="auto"/>
                                                <w:left w:val="none" w:sz="0" w:space="0" w:color="auto"/>
                                                <w:bottom w:val="none" w:sz="0" w:space="0" w:color="auto"/>
                                                <w:right w:val="none" w:sz="0" w:space="0" w:color="auto"/>
                                              </w:divBdr>
                                              <w:divsChild>
                                                <w:div w:id="1568570149">
                                                  <w:marLeft w:val="0"/>
                                                  <w:marRight w:val="0"/>
                                                  <w:marTop w:val="0"/>
                                                  <w:marBottom w:val="0"/>
                                                  <w:divBdr>
                                                    <w:top w:val="none" w:sz="0" w:space="0" w:color="auto"/>
                                                    <w:left w:val="none" w:sz="0" w:space="0" w:color="auto"/>
                                                    <w:bottom w:val="none" w:sz="0" w:space="0" w:color="auto"/>
                                                    <w:right w:val="none" w:sz="0" w:space="0" w:color="auto"/>
                                                  </w:divBdr>
                                                  <w:divsChild>
                                                    <w:div w:id="72302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557394">
                                          <w:marLeft w:val="0"/>
                                          <w:marRight w:val="0"/>
                                          <w:marTop w:val="0"/>
                                          <w:marBottom w:val="0"/>
                                          <w:divBdr>
                                            <w:top w:val="none" w:sz="0" w:space="0" w:color="auto"/>
                                            <w:left w:val="none" w:sz="0" w:space="0" w:color="auto"/>
                                            <w:bottom w:val="none" w:sz="0" w:space="0" w:color="auto"/>
                                            <w:right w:val="none" w:sz="0" w:space="0" w:color="auto"/>
                                          </w:divBdr>
                                          <w:divsChild>
                                            <w:div w:id="470015">
                                              <w:marLeft w:val="0"/>
                                              <w:marRight w:val="0"/>
                                              <w:marTop w:val="0"/>
                                              <w:marBottom w:val="0"/>
                                              <w:divBdr>
                                                <w:top w:val="none" w:sz="0" w:space="0" w:color="auto"/>
                                                <w:left w:val="none" w:sz="0" w:space="0" w:color="auto"/>
                                                <w:bottom w:val="none" w:sz="0" w:space="0" w:color="auto"/>
                                                <w:right w:val="none" w:sz="0" w:space="0" w:color="auto"/>
                                              </w:divBdr>
                                              <w:divsChild>
                                                <w:div w:id="1166941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59424979">
          <w:marLeft w:val="0"/>
          <w:marRight w:val="0"/>
          <w:marTop w:val="0"/>
          <w:marBottom w:val="0"/>
          <w:divBdr>
            <w:top w:val="none" w:sz="0" w:space="0" w:color="auto"/>
            <w:left w:val="none" w:sz="0" w:space="0" w:color="auto"/>
            <w:bottom w:val="none" w:sz="0" w:space="0" w:color="auto"/>
            <w:right w:val="none" w:sz="0" w:space="0" w:color="auto"/>
          </w:divBdr>
          <w:divsChild>
            <w:div w:id="1385835287">
              <w:marLeft w:val="0"/>
              <w:marRight w:val="0"/>
              <w:marTop w:val="0"/>
              <w:marBottom w:val="0"/>
              <w:divBdr>
                <w:top w:val="none" w:sz="0" w:space="0" w:color="auto"/>
                <w:left w:val="none" w:sz="0" w:space="0" w:color="auto"/>
                <w:bottom w:val="none" w:sz="0" w:space="0" w:color="auto"/>
                <w:right w:val="none" w:sz="0" w:space="0" w:color="auto"/>
              </w:divBdr>
              <w:divsChild>
                <w:div w:id="1403140546">
                  <w:marLeft w:val="0"/>
                  <w:marRight w:val="0"/>
                  <w:marTop w:val="0"/>
                  <w:marBottom w:val="0"/>
                  <w:divBdr>
                    <w:top w:val="none" w:sz="0" w:space="0" w:color="auto"/>
                    <w:left w:val="none" w:sz="0" w:space="0" w:color="auto"/>
                    <w:bottom w:val="none" w:sz="0" w:space="0" w:color="auto"/>
                    <w:right w:val="none" w:sz="0" w:space="0" w:color="auto"/>
                  </w:divBdr>
                  <w:divsChild>
                    <w:div w:id="1586260808">
                      <w:marLeft w:val="0"/>
                      <w:marRight w:val="0"/>
                      <w:marTop w:val="0"/>
                      <w:marBottom w:val="0"/>
                      <w:divBdr>
                        <w:top w:val="none" w:sz="0" w:space="0" w:color="auto"/>
                        <w:left w:val="none" w:sz="0" w:space="0" w:color="auto"/>
                        <w:bottom w:val="none" w:sz="0" w:space="0" w:color="auto"/>
                        <w:right w:val="none" w:sz="0" w:space="0" w:color="auto"/>
                      </w:divBdr>
                      <w:divsChild>
                        <w:div w:id="711422840">
                          <w:marLeft w:val="0"/>
                          <w:marRight w:val="0"/>
                          <w:marTop w:val="0"/>
                          <w:marBottom w:val="0"/>
                          <w:divBdr>
                            <w:top w:val="none" w:sz="0" w:space="0" w:color="auto"/>
                            <w:left w:val="none" w:sz="0" w:space="0" w:color="auto"/>
                            <w:bottom w:val="none" w:sz="0" w:space="0" w:color="auto"/>
                            <w:right w:val="none" w:sz="0" w:space="0" w:color="auto"/>
                          </w:divBdr>
                          <w:divsChild>
                            <w:div w:id="2083093741">
                              <w:marLeft w:val="0"/>
                              <w:marRight w:val="0"/>
                              <w:marTop w:val="0"/>
                              <w:marBottom w:val="0"/>
                              <w:divBdr>
                                <w:top w:val="none" w:sz="0" w:space="0" w:color="auto"/>
                                <w:left w:val="none" w:sz="0" w:space="0" w:color="auto"/>
                                <w:bottom w:val="none" w:sz="0" w:space="0" w:color="auto"/>
                                <w:right w:val="none" w:sz="0" w:space="0" w:color="auto"/>
                              </w:divBdr>
                              <w:divsChild>
                                <w:div w:id="1430080587">
                                  <w:marLeft w:val="0"/>
                                  <w:marRight w:val="0"/>
                                  <w:marTop w:val="0"/>
                                  <w:marBottom w:val="0"/>
                                  <w:divBdr>
                                    <w:top w:val="none" w:sz="0" w:space="0" w:color="auto"/>
                                    <w:left w:val="none" w:sz="0" w:space="0" w:color="auto"/>
                                    <w:bottom w:val="none" w:sz="0" w:space="0" w:color="auto"/>
                                    <w:right w:val="none" w:sz="0" w:space="0" w:color="auto"/>
                                  </w:divBdr>
                                  <w:divsChild>
                                    <w:div w:id="1985356007">
                                      <w:marLeft w:val="0"/>
                                      <w:marRight w:val="0"/>
                                      <w:marTop w:val="0"/>
                                      <w:marBottom w:val="0"/>
                                      <w:divBdr>
                                        <w:top w:val="none" w:sz="0" w:space="0" w:color="auto"/>
                                        <w:left w:val="none" w:sz="0" w:space="0" w:color="auto"/>
                                        <w:bottom w:val="none" w:sz="0" w:space="0" w:color="auto"/>
                                        <w:right w:val="none" w:sz="0" w:space="0" w:color="auto"/>
                                      </w:divBdr>
                                      <w:divsChild>
                                        <w:div w:id="142431805">
                                          <w:marLeft w:val="0"/>
                                          <w:marRight w:val="0"/>
                                          <w:marTop w:val="0"/>
                                          <w:marBottom w:val="0"/>
                                          <w:divBdr>
                                            <w:top w:val="none" w:sz="0" w:space="0" w:color="auto"/>
                                            <w:left w:val="none" w:sz="0" w:space="0" w:color="auto"/>
                                            <w:bottom w:val="none" w:sz="0" w:space="0" w:color="auto"/>
                                            <w:right w:val="none" w:sz="0" w:space="0" w:color="auto"/>
                                          </w:divBdr>
                                          <w:divsChild>
                                            <w:div w:id="648479714">
                                              <w:marLeft w:val="0"/>
                                              <w:marRight w:val="0"/>
                                              <w:marTop w:val="0"/>
                                              <w:marBottom w:val="0"/>
                                              <w:divBdr>
                                                <w:top w:val="none" w:sz="0" w:space="0" w:color="auto"/>
                                                <w:left w:val="none" w:sz="0" w:space="0" w:color="auto"/>
                                                <w:bottom w:val="none" w:sz="0" w:space="0" w:color="auto"/>
                                                <w:right w:val="none" w:sz="0" w:space="0" w:color="auto"/>
                                              </w:divBdr>
                                              <w:divsChild>
                                                <w:div w:id="1044016664">
                                                  <w:marLeft w:val="0"/>
                                                  <w:marRight w:val="0"/>
                                                  <w:marTop w:val="0"/>
                                                  <w:marBottom w:val="0"/>
                                                  <w:divBdr>
                                                    <w:top w:val="none" w:sz="0" w:space="0" w:color="auto"/>
                                                    <w:left w:val="none" w:sz="0" w:space="0" w:color="auto"/>
                                                    <w:bottom w:val="none" w:sz="0" w:space="0" w:color="auto"/>
                                                    <w:right w:val="none" w:sz="0" w:space="0" w:color="auto"/>
                                                  </w:divBdr>
                                                  <w:divsChild>
                                                    <w:div w:id="544607895">
                                                      <w:marLeft w:val="0"/>
                                                      <w:marRight w:val="0"/>
                                                      <w:marTop w:val="0"/>
                                                      <w:marBottom w:val="0"/>
                                                      <w:divBdr>
                                                        <w:top w:val="none" w:sz="0" w:space="0" w:color="auto"/>
                                                        <w:left w:val="none" w:sz="0" w:space="0" w:color="auto"/>
                                                        <w:bottom w:val="none" w:sz="0" w:space="0" w:color="auto"/>
                                                        <w:right w:val="none" w:sz="0" w:space="0" w:color="auto"/>
                                                      </w:divBdr>
                                                      <w:divsChild>
                                                        <w:div w:id="246155979">
                                                          <w:marLeft w:val="0"/>
                                                          <w:marRight w:val="0"/>
                                                          <w:marTop w:val="0"/>
                                                          <w:marBottom w:val="0"/>
                                                          <w:divBdr>
                                                            <w:top w:val="none" w:sz="0" w:space="0" w:color="auto"/>
                                                            <w:left w:val="none" w:sz="0" w:space="0" w:color="auto"/>
                                                            <w:bottom w:val="none" w:sz="0" w:space="0" w:color="auto"/>
                                                            <w:right w:val="none" w:sz="0" w:space="0" w:color="auto"/>
                                                          </w:divBdr>
                                                          <w:divsChild>
                                                            <w:div w:id="1236085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63483705">
      <w:bodyDiv w:val="1"/>
      <w:marLeft w:val="0"/>
      <w:marRight w:val="0"/>
      <w:marTop w:val="0"/>
      <w:marBottom w:val="0"/>
      <w:divBdr>
        <w:top w:val="none" w:sz="0" w:space="0" w:color="auto"/>
        <w:left w:val="none" w:sz="0" w:space="0" w:color="auto"/>
        <w:bottom w:val="none" w:sz="0" w:space="0" w:color="auto"/>
        <w:right w:val="none" w:sz="0" w:space="0" w:color="auto"/>
      </w:divBdr>
    </w:div>
    <w:div w:id="1365599687">
      <w:bodyDiv w:val="1"/>
      <w:marLeft w:val="0"/>
      <w:marRight w:val="0"/>
      <w:marTop w:val="0"/>
      <w:marBottom w:val="0"/>
      <w:divBdr>
        <w:top w:val="none" w:sz="0" w:space="0" w:color="auto"/>
        <w:left w:val="none" w:sz="0" w:space="0" w:color="auto"/>
        <w:bottom w:val="none" w:sz="0" w:space="0" w:color="auto"/>
        <w:right w:val="none" w:sz="0" w:space="0" w:color="auto"/>
      </w:divBdr>
    </w:div>
    <w:div w:id="1387026687">
      <w:bodyDiv w:val="1"/>
      <w:marLeft w:val="0"/>
      <w:marRight w:val="0"/>
      <w:marTop w:val="0"/>
      <w:marBottom w:val="0"/>
      <w:divBdr>
        <w:top w:val="none" w:sz="0" w:space="0" w:color="auto"/>
        <w:left w:val="none" w:sz="0" w:space="0" w:color="auto"/>
        <w:bottom w:val="none" w:sz="0" w:space="0" w:color="auto"/>
        <w:right w:val="none" w:sz="0" w:space="0" w:color="auto"/>
      </w:divBdr>
    </w:div>
    <w:div w:id="1395812118">
      <w:bodyDiv w:val="1"/>
      <w:marLeft w:val="0"/>
      <w:marRight w:val="0"/>
      <w:marTop w:val="0"/>
      <w:marBottom w:val="0"/>
      <w:divBdr>
        <w:top w:val="none" w:sz="0" w:space="0" w:color="auto"/>
        <w:left w:val="none" w:sz="0" w:space="0" w:color="auto"/>
        <w:bottom w:val="none" w:sz="0" w:space="0" w:color="auto"/>
        <w:right w:val="none" w:sz="0" w:space="0" w:color="auto"/>
      </w:divBdr>
    </w:div>
    <w:div w:id="1431969517">
      <w:bodyDiv w:val="1"/>
      <w:marLeft w:val="0"/>
      <w:marRight w:val="0"/>
      <w:marTop w:val="0"/>
      <w:marBottom w:val="0"/>
      <w:divBdr>
        <w:top w:val="none" w:sz="0" w:space="0" w:color="auto"/>
        <w:left w:val="none" w:sz="0" w:space="0" w:color="auto"/>
        <w:bottom w:val="none" w:sz="0" w:space="0" w:color="auto"/>
        <w:right w:val="none" w:sz="0" w:space="0" w:color="auto"/>
      </w:divBdr>
    </w:div>
    <w:div w:id="1492940953">
      <w:bodyDiv w:val="1"/>
      <w:marLeft w:val="0"/>
      <w:marRight w:val="0"/>
      <w:marTop w:val="0"/>
      <w:marBottom w:val="0"/>
      <w:divBdr>
        <w:top w:val="none" w:sz="0" w:space="0" w:color="auto"/>
        <w:left w:val="none" w:sz="0" w:space="0" w:color="auto"/>
        <w:bottom w:val="none" w:sz="0" w:space="0" w:color="auto"/>
        <w:right w:val="none" w:sz="0" w:space="0" w:color="auto"/>
      </w:divBdr>
    </w:div>
    <w:div w:id="1521313007">
      <w:bodyDiv w:val="1"/>
      <w:marLeft w:val="0"/>
      <w:marRight w:val="0"/>
      <w:marTop w:val="0"/>
      <w:marBottom w:val="0"/>
      <w:divBdr>
        <w:top w:val="none" w:sz="0" w:space="0" w:color="auto"/>
        <w:left w:val="none" w:sz="0" w:space="0" w:color="auto"/>
        <w:bottom w:val="none" w:sz="0" w:space="0" w:color="auto"/>
        <w:right w:val="none" w:sz="0" w:space="0" w:color="auto"/>
      </w:divBdr>
    </w:div>
    <w:div w:id="1525941645">
      <w:bodyDiv w:val="1"/>
      <w:marLeft w:val="0"/>
      <w:marRight w:val="0"/>
      <w:marTop w:val="0"/>
      <w:marBottom w:val="0"/>
      <w:divBdr>
        <w:top w:val="none" w:sz="0" w:space="0" w:color="auto"/>
        <w:left w:val="none" w:sz="0" w:space="0" w:color="auto"/>
        <w:bottom w:val="none" w:sz="0" w:space="0" w:color="auto"/>
        <w:right w:val="none" w:sz="0" w:space="0" w:color="auto"/>
      </w:divBdr>
    </w:div>
    <w:div w:id="1540624665">
      <w:bodyDiv w:val="1"/>
      <w:marLeft w:val="0"/>
      <w:marRight w:val="0"/>
      <w:marTop w:val="0"/>
      <w:marBottom w:val="0"/>
      <w:divBdr>
        <w:top w:val="none" w:sz="0" w:space="0" w:color="auto"/>
        <w:left w:val="none" w:sz="0" w:space="0" w:color="auto"/>
        <w:bottom w:val="none" w:sz="0" w:space="0" w:color="auto"/>
        <w:right w:val="none" w:sz="0" w:space="0" w:color="auto"/>
      </w:divBdr>
    </w:div>
    <w:div w:id="1546916115">
      <w:bodyDiv w:val="1"/>
      <w:marLeft w:val="0"/>
      <w:marRight w:val="0"/>
      <w:marTop w:val="0"/>
      <w:marBottom w:val="0"/>
      <w:divBdr>
        <w:top w:val="none" w:sz="0" w:space="0" w:color="auto"/>
        <w:left w:val="none" w:sz="0" w:space="0" w:color="auto"/>
        <w:bottom w:val="none" w:sz="0" w:space="0" w:color="auto"/>
        <w:right w:val="none" w:sz="0" w:space="0" w:color="auto"/>
      </w:divBdr>
    </w:div>
    <w:div w:id="1570843082">
      <w:bodyDiv w:val="1"/>
      <w:marLeft w:val="0"/>
      <w:marRight w:val="0"/>
      <w:marTop w:val="0"/>
      <w:marBottom w:val="0"/>
      <w:divBdr>
        <w:top w:val="none" w:sz="0" w:space="0" w:color="auto"/>
        <w:left w:val="none" w:sz="0" w:space="0" w:color="auto"/>
        <w:bottom w:val="none" w:sz="0" w:space="0" w:color="auto"/>
        <w:right w:val="none" w:sz="0" w:space="0" w:color="auto"/>
      </w:divBdr>
    </w:div>
    <w:div w:id="1599484253">
      <w:bodyDiv w:val="1"/>
      <w:marLeft w:val="0"/>
      <w:marRight w:val="0"/>
      <w:marTop w:val="0"/>
      <w:marBottom w:val="0"/>
      <w:divBdr>
        <w:top w:val="none" w:sz="0" w:space="0" w:color="auto"/>
        <w:left w:val="none" w:sz="0" w:space="0" w:color="auto"/>
        <w:bottom w:val="none" w:sz="0" w:space="0" w:color="auto"/>
        <w:right w:val="none" w:sz="0" w:space="0" w:color="auto"/>
      </w:divBdr>
    </w:div>
    <w:div w:id="1628438648">
      <w:bodyDiv w:val="1"/>
      <w:marLeft w:val="0"/>
      <w:marRight w:val="0"/>
      <w:marTop w:val="0"/>
      <w:marBottom w:val="0"/>
      <w:divBdr>
        <w:top w:val="none" w:sz="0" w:space="0" w:color="auto"/>
        <w:left w:val="none" w:sz="0" w:space="0" w:color="auto"/>
        <w:bottom w:val="none" w:sz="0" w:space="0" w:color="auto"/>
        <w:right w:val="none" w:sz="0" w:space="0" w:color="auto"/>
      </w:divBdr>
    </w:div>
    <w:div w:id="1643382298">
      <w:bodyDiv w:val="1"/>
      <w:marLeft w:val="0"/>
      <w:marRight w:val="0"/>
      <w:marTop w:val="0"/>
      <w:marBottom w:val="0"/>
      <w:divBdr>
        <w:top w:val="none" w:sz="0" w:space="0" w:color="auto"/>
        <w:left w:val="none" w:sz="0" w:space="0" w:color="auto"/>
        <w:bottom w:val="none" w:sz="0" w:space="0" w:color="auto"/>
        <w:right w:val="none" w:sz="0" w:space="0" w:color="auto"/>
      </w:divBdr>
    </w:div>
    <w:div w:id="1690907650">
      <w:bodyDiv w:val="1"/>
      <w:marLeft w:val="0"/>
      <w:marRight w:val="0"/>
      <w:marTop w:val="0"/>
      <w:marBottom w:val="0"/>
      <w:divBdr>
        <w:top w:val="none" w:sz="0" w:space="0" w:color="auto"/>
        <w:left w:val="none" w:sz="0" w:space="0" w:color="auto"/>
        <w:bottom w:val="none" w:sz="0" w:space="0" w:color="auto"/>
        <w:right w:val="none" w:sz="0" w:space="0" w:color="auto"/>
      </w:divBdr>
    </w:div>
    <w:div w:id="1696736004">
      <w:bodyDiv w:val="1"/>
      <w:marLeft w:val="0"/>
      <w:marRight w:val="0"/>
      <w:marTop w:val="0"/>
      <w:marBottom w:val="0"/>
      <w:divBdr>
        <w:top w:val="none" w:sz="0" w:space="0" w:color="auto"/>
        <w:left w:val="none" w:sz="0" w:space="0" w:color="auto"/>
        <w:bottom w:val="none" w:sz="0" w:space="0" w:color="auto"/>
        <w:right w:val="none" w:sz="0" w:space="0" w:color="auto"/>
      </w:divBdr>
    </w:div>
    <w:div w:id="1699698324">
      <w:bodyDiv w:val="1"/>
      <w:marLeft w:val="0"/>
      <w:marRight w:val="0"/>
      <w:marTop w:val="0"/>
      <w:marBottom w:val="0"/>
      <w:divBdr>
        <w:top w:val="none" w:sz="0" w:space="0" w:color="auto"/>
        <w:left w:val="none" w:sz="0" w:space="0" w:color="auto"/>
        <w:bottom w:val="none" w:sz="0" w:space="0" w:color="auto"/>
        <w:right w:val="none" w:sz="0" w:space="0" w:color="auto"/>
      </w:divBdr>
    </w:div>
    <w:div w:id="1701933914">
      <w:bodyDiv w:val="1"/>
      <w:marLeft w:val="0"/>
      <w:marRight w:val="0"/>
      <w:marTop w:val="0"/>
      <w:marBottom w:val="0"/>
      <w:divBdr>
        <w:top w:val="none" w:sz="0" w:space="0" w:color="auto"/>
        <w:left w:val="none" w:sz="0" w:space="0" w:color="auto"/>
        <w:bottom w:val="none" w:sz="0" w:space="0" w:color="auto"/>
        <w:right w:val="none" w:sz="0" w:space="0" w:color="auto"/>
      </w:divBdr>
    </w:div>
    <w:div w:id="1727486335">
      <w:bodyDiv w:val="1"/>
      <w:marLeft w:val="0"/>
      <w:marRight w:val="0"/>
      <w:marTop w:val="0"/>
      <w:marBottom w:val="0"/>
      <w:divBdr>
        <w:top w:val="none" w:sz="0" w:space="0" w:color="auto"/>
        <w:left w:val="none" w:sz="0" w:space="0" w:color="auto"/>
        <w:bottom w:val="none" w:sz="0" w:space="0" w:color="auto"/>
        <w:right w:val="none" w:sz="0" w:space="0" w:color="auto"/>
      </w:divBdr>
    </w:div>
    <w:div w:id="1748377956">
      <w:bodyDiv w:val="1"/>
      <w:marLeft w:val="0"/>
      <w:marRight w:val="0"/>
      <w:marTop w:val="0"/>
      <w:marBottom w:val="0"/>
      <w:divBdr>
        <w:top w:val="none" w:sz="0" w:space="0" w:color="auto"/>
        <w:left w:val="none" w:sz="0" w:space="0" w:color="auto"/>
        <w:bottom w:val="none" w:sz="0" w:space="0" w:color="auto"/>
        <w:right w:val="none" w:sz="0" w:space="0" w:color="auto"/>
      </w:divBdr>
    </w:div>
    <w:div w:id="1773547623">
      <w:bodyDiv w:val="1"/>
      <w:marLeft w:val="0"/>
      <w:marRight w:val="0"/>
      <w:marTop w:val="0"/>
      <w:marBottom w:val="0"/>
      <w:divBdr>
        <w:top w:val="none" w:sz="0" w:space="0" w:color="auto"/>
        <w:left w:val="none" w:sz="0" w:space="0" w:color="auto"/>
        <w:bottom w:val="none" w:sz="0" w:space="0" w:color="auto"/>
        <w:right w:val="none" w:sz="0" w:space="0" w:color="auto"/>
      </w:divBdr>
      <w:divsChild>
        <w:div w:id="1053700380">
          <w:marLeft w:val="0"/>
          <w:marRight w:val="0"/>
          <w:marTop w:val="0"/>
          <w:marBottom w:val="0"/>
          <w:divBdr>
            <w:top w:val="none" w:sz="0" w:space="0" w:color="auto"/>
            <w:left w:val="none" w:sz="0" w:space="0" w:color="auto"/>
            <w:bottom w:val="none" w:sz="0" w:space="0" w:color="auto"/>
            <w:right w:val="none" w:sz="0" w:space="0" w:color="auto"/>
          </w:divBdr>
          <w:divsChild>
            <w:div w:id="760376209">
              <w:marLeft w:val="0"/>
              <w:marRight w:val="0"/>
              <w:marTop w:val="0"/>
              <w:marBottom w:val="0"/>
              <w:divBdr>
                <w:top w:val="none" w:sz="0" w:space="0" w:color="auto"/>
                <w:left w:val="none" w:sz="0" w:space="0" w:color="auto"/>
                <w:bottom w:val="none" w:sz="0" w:space="0" w:color="auto"/>
                <w:right w:val="none" w:sz="0" w:space="0" w:color="auto"/>
              </w:divBdr>
              <w:divsChild>
                <w:div w:id="1356424010">
                  <w:marLeft w:val="0"/>
                  <w:marRight w:val="0"/>
                  <w:marTop w:val="0"/>
                  <w:marBottom w:val="0"/>
                  <w:divBdr>
                    <w:top w:val="none" w:sz="0" w:space="0" w:color="auto"/>
                    <w:left w:val="none" w:sz="0" w:space="0" w:color="auto"/>
                    <w:bottom w:val="none" w:sz="0" w:space="0" w:color="auto"/>
                    <w:right w:val="none" w:sz="0" w:space="0" w:color="auto"/>
                  </w:divBdr>
                  <w:divsChild>
                    <w:div w:id="1519733430">
                      <w:marLeft w:val="0"/>
                      <w:marRight w:val="0"/>
                      <w:marTop w:val="0"/>
                      <w:marBottom w:val="0"/>
                      <w:divBdr>
                        <w:top w:val="none" w:sz="0" w:space="0" w:color="auto"/>
                        <w:left w:val="none" w:sz="0" w:space="0" w:color="auto"/>
                        <w:bottom w:val="none" w:sz="0" w:space="0" w:color="auto"/>
                        <w:right w:val="none" w:sz="0" w:space="0" w:color="auto"/>
                      </w:divBdr>
                      <w:divsChild>
                        <w:div w:id="146870245">
                          <w:marLeft w:val="0"/>
                          <w:marRight w:val="0"/>
                          <w:marTop w:val="0"/>
                          <w:marBottom w:val="0"/>
                          <w:divBdr>
                            <w:top w:val="none" w:sz="0" w:space="0" w:color="auto"/>
                            <w:left w:val="none" w:sz="0" w:space="0" w:color="auto"/>
                            <w:bottom w:val="none" w:sz="0" w:space="0" w:color="auto"/>
                            <w:right w:val="none" w:sz="0" w:space="0" w:color="auto"/>
                          </w:divBdr>
                          <w:divsChild>
                            <w:div w:id="1390300275">
                              <w:marLeft w:val="0"/>
                              <w:marRight w:val="0"/>
                              <w:marTop w:val="0"/>
                              <w:marBottom w:val="0"/>
                              <w:divBdr>
                                <w:top w:val="none" w:sz="0" w:space="0" w:color="auto"/>
                                <w:left w:val="none" w:sz="0" w:space="0" w:color="auto"/>
                                <w:bottom w:val="none" w:sz="0" w:space="0" w:color="auto"/>
                                <w:right w:val="none" w:sz="0" w:space="0" w:color="auto"/>
                              </w:divBdr>
                              <w:divsChild>
                                <w:div w:id="1972437024">
                                  <w:marLeft w:val="0"/>
                                  <w:marRight w:val="0"/>
                                  <w:marTop w:val="0"/>
                                  <w:marBottom w:val="0"/>
                                  <w:divBdr>
                                    <w:top w:val="none" w:sz="0" w:space="0" w:color="auto"/>
                                    <w:left w:val="none" w:sz="0" w:space="0" w:color="auto"/>
                                    <w:bottom w:val="none" w:sz="0" w:space="0" w:color="auto"/>
                                    <w:right w:val="none" w:sz="0" w:space="0" w:color="auto"/>
                                  </w:divBdr>
                                  <w:divsChild>
                                    <w:div w:id="340594151">
                                      <w:marLeft w:val="0"/>
                                      <w:marRight w:val="0"/>
                                      <w:marTop w:val="0"/>
                                      <w:marBottom w:val="0"/>
                                      <w:divBdr>
                                        <w:top w:val="none" w:sz="0" w:space="0" w:color="auto"/>
                                        <w:left w:val="none" w:sz="0" w:space="0" w:color="auto"/>
                                        <w:bottom w:val="none" w:sz="0" w:space="0" w:color="auto"/>
                                        <w:right w:val="none" w:sz="0" w:space="0" w:color="auto"/>
                                      </w:divBdr>
                                      <w:divsChild>
                                        <w:div w:id="105346304">
                                          <w:marLeft w:val="0"/>
                                          <w:marRight w:val="0"/>
                                          <w:marTop w:val="0"/>
                                          <w:marBottom w:val="0"/>
                                          <w:divBdr>
                                            <w:top w:val="none" w:sz="0" w:space="0" w:color="auto"/>
                                            <w:left w:val="none" w:sz="0" w:space="0" w:color="auto"/>
                                            <w:bottom w:val="none" w:sz="0" w:space="0" w:color="auto"/>
                                            <w:right w:val="none" w:sz="0" w:space="0" w:color="auto"/>
                                          </w:divBdr>
                                          <w:divsChild>
                                            <w:div w:id="1138108489">
                                              <w:marLeft w:val="0"/>
                                              <w:marRight w:val="0"/>
                                              <w:marTop w:val="0"/>
                                              <w:marBottom w:val="0"/>
                                              <w:divBdr>
                                                <w:top w:val="none" w:sz="0" w:space="0" w:color="auto"/>
                                                <w:left w:val="none" w:sz="0" w:space="0" w:color="auto"/>
                                                <w:bottom w:val="none" w:sz="0" w:space="0" w:color="auto"/>
                                                <w:right w:val="none" w:sz="0" w:space="0" w:color="auto"/>
                                              </w:divBdr>
                                              <w:divsChild>
                                                <w:div w:id="107704867">
                                                  <w:marLeft w:val="0"/>
                                                  <w:marRight w:val="0"/>
                                                  <w:marTop w:val="0"/>
                                                  <w:marBottom w:val="0"/>
                                                  <w:divBdr>
                                                    <w:top w:val="none" w:sz="0" w:space="0" w:color="auto"/>
                                                    <w:left w:val="none" w:sz="0" w:space="0" w:color="auto"/>
                                                    <w:bottom w:val="none" w:sz="0" w:space="0" w:color="auto"/>
                                                    <w:right w:val="none" w:sz="0" w:space="0" w:color="auto"/>
                                                  </w:divBdr>
                                                  <w:divsChild>
                                                    <w:div w:id="186620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090749">
                                          <w:marLeft w:val="0"/>
                                          <w:marRight w:val="0"/>
                                          <w:marTop w:val="0"/>
                                          <w:marBottom w:val="0"/>
                                          <w:divBdr>
                                            <w:top w:val="none" w:sz="0" w:space="0" w:color="auto"/>
                                            <w:left w:val="none" w:sz="0" w:space="0" w:color="auto"/>
                                            <w:bottom w:val="none" w:sz="0" w:space="0" w:color="auto"/>
                                            <w:right w:val="none" w:sz="0" w:space="0" w:color="auto"/>
                                          </w:divBdr>
                                          <w:divsChild>
                                            <w:div w:id="1269773635">
                                              <w:marLeft w:val="0"/>
                                              <w:marRight w:val="0"/>
                                              <w:marTop w:val="0"/>
                                              <w:marBottom w:val="0"/>
                                              <w:divBdr>
                                                <w:top w:val="none" w:sz="0" w:space="0" w:color="auto"/>
                                                <w:left w:val="none" w:sz="0" w:space="0" w:color="auto"/>
                                                <w:bottom w:val="none" w:sz="0" w:space="0" w:color="auto"/>
                                                <w:right w:val="none" w:sz="0" w:space="0" w:color="auto"/>
                                              </w:divBdr>
                                              <w:divsChild>
                                                <w:div w:id="910114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492374">
          <w:marLeft w:val="0"/>
          <w:marRight w:val="0"/>
          <w:marTop w:val="0"/>
          <w:marBottom w:val="0"/>
          <w:divBdr>
            <w:top w:val="none" w:sz="0" w:space="0" w:color="auto"/>
            <w:left w:val="none" w:sz="0" w:space="0" w:color="auto"/>
            <w:bottom w:val="none" w:sz="0" w:space="0" w:color="auto"/>
            <w:right w:val="none" w:sz="0" w:space="0" w:color="auto"/>
          </w:divBdr>
          <w:divsChild>
            <w:div w:id="511065816">
              <w:marLeft w:val="0"/>
              <w:marRight w:val="0"/>
              <w:marTop w:val="0"/>
              <w:marBottom w:val="0"/>
              <w:divBdr>
                <w:top w:val="none" w:sz="0" w:space="0" w:color="auto"/>
                <w:left w:val="none" w:sz="0" w:space="0" w:color="auto"/>
                <w:bottom w:val="none" w:sz="0" w:space="0" w:color="auto"/>
                <w:right w:val="none" w:sz="0" w:space="0" w:color="auto"/>
              </w:divBdr>
              <w:divsChild>
                <w:div w:id="884218242">
                  <w:marLeft w:val="0"/>
                  <w:marRight w:val="0"/>
                  <w:marTop w:val="0"/>
                  <w:marBottom w:val="0"/>
                  <w:divBdr>
                    <w:top w:val="none" w:sz="0" w:space="0" w:color="auto"/>
                    <w:left w:val="none" w:sz="0" w:space="0" w:color="auto"/>
                    <w:bottom w:val="none" w:sz="0" w:space="0" w:color="auto"/>
                    <w:right w:val="none" w:sz="0" w:space="0" w:color="auto"/>
                  </w:divBdr>
                  <w:divsChild>
                    <w:div w:id="1478261336">
                      <w:marLeft w:val="0"/>
                      <w:marRight w:val="0"/>
                      <w:marTop w:val="0"/>
                      <w:marBottom w:val="0"/>
                      <w:divBdr>
                        <w:top w:val="none" w:sz="0" w:space="0" w:color="auto"/>
                        <w:left w:val="none" w:sz="0" w:space="0" w:color="auto"/>
                        <w:bottom w:val="none" w:sz="0" w:space="0" w:color="auto"/>
                        <w:right w:val="none" w:sz="0" w:space="0" w:color="auto"/>
                      </w:divBdr>
                      <w:divsChild>
                        <w:div w:id="565723867">
                          <w:marLeft w:val="0"/>
                          <w:marRight w:val="0"/>
                          <w:marTop w:val="0"/>
                          <w:marBottom w:val="0"/>
                          <w:divBdr>
                            <w:top w:val="none" w:sz="0" w:space="0" w:color="auto"/>
                            <w:left w:val="none" w:sz="0" w:space="0" w:color="auto"/>
                            <w:bottom w:val="none" w:sz="0" w:space="0" w:color="auto"/>
                            <w:right w:val="none" w:sz="0" w:space="0" w:color="auto"/>
                          </w:divBdr>
                          <w:divsChild>
                            <w:div w:id="359162968">
                              <w:marLeft w:val="0"/>
                              <w:marRight w:val="0"/>
                              <w:marTop w:val="0"/>
                              <w:marBottom w:val="0"/>
                              <w:divBdr>
                                <w:top w:val="none" w:sz="0" w:space="0" w:color="auto"/>
                                <w:left w:val="none" w:sz="0" w:space="0" w:color="auto"/>
                                <w:bottom w:val="none" w:sz="0" w:space="0" w:color="auto"/>
                                <w:right w:val="none" w:sz="0" w:space="0" w:color="auto"/>
                              </w:divBdr>
                              <w:divsChild>
                                <w:div w:id="2040011955">
                                  <w:marLeft w:val="0"/>
                                  <w:marRight w:val="0"/>
                                  <w:marTop w:val="0"/>
                                  <w:marBottom w:val="0"/>
                                  <w:divBdr>
                                    <w:top w:val="none" w:sz="0" w:space="0" w:color="auto"/>
                                    <w:left w:val="none" w:sz="0" w:space="0" w:color="auto"/>
                                    <w:bottom w:val="none" w:sz="0" w:space="0" w:color="auto"/>
                                    <w:right w:val="none" w:sz="0" w:space="0" w:color="auto"/>
                                  </w:divBdr>
                                  <w:divsChild>
                                    <w:div w:id="537352765">
                                      <w:marLeft w:val="0"/>
                                      <w:marRight w:val="0"/>
                                      <w:marTop w:val="0"/>
                                      <w:marBottom w:val="0"/>
                                      <w:divBdr>
                                        <w:top w:val="none" w:sz="0" w:space="0" w:color="auto"/>
                                        <w:left w:val="none" w:sz="0" w:space="0" w:color="auto"/>
                                        <w:bottom w:val="none" w:sz="0" w:space="0" w:color="auto"/>
                                        <w:right w:val="none" w:sz="0" w:space="0" w:color="auto"/>
                                      </w:divBdr>
                                      <w:divsChild>
                                        <w:div w:id="1486704993">
                                          <w:marLeft w:val="0"/>
                                          <w:marRight w:val="0"/>
                                          <w:marTop w:val="0"/>
                                          <w:marBottom w:val="0"/>
                                          <w:divBdr>
                                            <w:top w:val="none" w:sz="0" w:space="0" w:color="auto"/>
                                            <w:left w:val="none" w:sz="0" w:space="0" w:color="auto"/>
                                            <w:bottom w:val="none" w:sz="0" w:space="0" w:color="auto"/>
                                            <w:right w:val="none" w:sz="0" w:space="0" w:color="auto"/>
                                          </w:divBdr>
                                          <w:divsChild>
                                            <w:div w:id="1337418000">
                                              <w:marLeft w:val="0"/>
                                              <w:marRight w:val="0"/>
                                              <w:marTop w:val="0"/>
                                              <w:marBottom w:val="0"/>
                                              <w:divBdr>
                                                <w:top w:val="none" w:sz="0" w:space="0" w:color="auto"/>
                                                <w:left w:val="none" w:sz="0" w:space="0" w:color="auto"/>
                                                <w:bottom w:val="none" w:sz="0" w:space="0" w:color="auto"/>
                                                <w:right w:val="none" w:sz="0" w:space="0" w:color="auto"/>
                                              </w:divBdr>
                                              <w:divsChild>
                                                <w:div w:id="1743485842">
                                                  <w:marLeft w:val="0"/>
                                                  <w:marRight w:val="0"/>
                                                  <w:marTop w:val="0"/>
                                                  <w:marBottom w:val="0"/>
                                                  <w:divBdr>
                                                    <w:top w:val="none" w:sz="0" w:space="0" w:color="auto"/>
                                                    <w:left w:val="none" w:sz="0" w:space="0" w:color="auto"/>
                                                    <w:bottom w:val="none" w:sz="0" w:space="0" w:color="auto"/>
                                                    <w:right w:val="none" w:sz="0" w:space="0" w:color="auto"/>
                                                  </w:divBdr>
                                                  <w:divsChild>
                                                    <w:div w:id="2125029188">
                                                      <w:marLeft w:val="0"/>
                                                      <w:marRight w:val="0"/>
                                                      <w:marTop w:val="0"/>
                                                      <w:marBottom w:val="0"/>
                                                      <w:divBdr>
                                                        <w:top w:val="none" w:sz="0" w:space="0" w:color="auto"/>
                                                        <w:left w:val="none" w:sz="0" w:space="0" w:color="auto"/>
                                                        <w:bottom w:val="none" w:sz="0" w:space="0" w:color="auto"/>
                                                        <w:right w:val="none" w:sz="0" w:space="0" w:color="auto"/>
                                                      </w:divBdr>
                                                      <w:divsChild>
                                                        <w:div w:id="1050496843">
                                                          <w:marLeft w:val="0"/>
                                                          <w:marRight w:val="0"/>
                                                          <w:marTop w:val="0"/>
                                                          <w:marBottom w:val="0"/>
                                                          <w:divBdr>
                                                            <w:top w:val="none" w:sz="0" w:space="0" w:color="auto"/>
                                                            <w:left w:val="none" w:sz="0" w:space="0" w:color="auto"/>
                                                            <w:bottom w:val="none" w:sz="0" w:space="0" w:color="auto"/>
                                                            <w:right w:val="none" w:sz="0" w:space="0" w:color="auto"/>
                                                          </w:divBdr>
                                                          <w:divsChild>
                                                            <w:div w:id="491870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75439673">
      <w:bodyDiv w:val="1"/>
      <w:marLeft w:val="0"/>
      <w:marRight w:val="0"/>
      <w:marTop w:val="0"/>
      <w:marBottom w:val="0"/>
      <w:divBdr>
        <w:top w:val="none" w:sz="0" w:space="0" w:color="auto"/>
        <w:left w:val="none" w:sz="0" w:space="0" w:color="auto"/>
        <w:bottom w:val="none" w:sz="0" w:space="0" w:color="auto"/>
        <w:right w:val="none" w:sz="0" w:space="0" w:color="auto"/>
      </w:divBdr>
    </w:div>
    <w:div w:id="1782531784">
      <w:bodyDiv w:val="1"/>
      <w:marLeft w:val="0"/>
      <w:marRight w:val="0"/>
      <w:marTop w:val="0"/>
      <w:marBottom w:val="0"/>
      <w:divBdr>
        <w:top w:val="none" w:sz="0" w:space="0" w:color="auto"/>
        <w:left w:val="none" w:sz="0" w:space="0" w:color="auto"/>
        <w:bottom w:val="none" w:sz="0" w:space="0" w:color="auto"/>
        <w:right w:val="none" w:sz="0" w:space="0" w:color="auto"/>
      </w:divBdr>
    </w:div>
    <w:div w:id="1884361503">
      <w:bodyDiv w:val="1"/>
      <w:marLeft w:val="0"/>
      <w:marRight w:val="0"/>
      <w:marTop w:val="0"/>
      <w:marBottom w:val="0"/>
      <w:divBdr>
        <w:top w:val="none" w:sz="0" w:space="0" w:color="auto"/>
        <w:left w:val="none" w:sz="0" w:space="0" w:color="auto"/>
        <w:bottom w:val="none" w:sz="0" w:space="0" w:color="auto"/>
        <w:right w:val="none" w:sz="0" w:space="0" w:color="auto"/>
      </w:divBdr>
    </w:div>
    <w:div w:id="1941135186">
      <w:bodyDiv w:val="1"/>
      <w:marLeft w:val="0"/>
      <w:marRight w:val="0"/>
      <w:marTop w:val="0"/>
      <w:marBottom w:val="0"/>
      <w:divBdr>
        <w:top w:val="none" w:sz="0" w:space="0" w:color="auto"/>
        <w:left w:val="none" w:sz="0" w:space="0" w:color="auto"/>
        <w:bottom w:val="none" w:sz="0" w:space="0" w:color="auto"/>
        <w:right w:val="none" w:sz="0" w:space="0" w:color="auto"/>
      </w:divBdr>
    </w:div>
    <w:div w:id="2028479594">
      <w:bodyDiv w:val="1"/>
      <w:marLeft w:val="0"/>
      <w:marRight w:val="0"/>
      <w:marTop w:val="0"/>
      <w:marBottom w:val="0"/>
      <w:divBdr>
        <w:top w:val="none" w:sz="0" w:space="0" w:color="auto"/>
        <w:left w:val="none" w:sz="0" w:space="0" w:color="auto"/>
        <w:bottom w:val="none" w:sz="0" w:space="0" w:color="auto"/>
        <w:right w:val="none" w:sz="0" w:space="0" w:color="auto"/>
      </w:divBdr>
    </w:div>
    <w:div w:id="2055036918">
      <w:bodyDiv w:val="1"/>
      <w:marLeft w:val="0"/>
      <w:marRight w:val="0"/>
      <w:marTop w:val="0"/>
      <w:marBottom w:val="0"/>
      <w:divBdr>
        <w:top w:val="none" w:sz="0" w:space="0" w:color="auto"/>
        <w:left w:val="none" w:sz="0" w:space="0" w:color="auto"/>
        <w:bottom w:val="none" w:sz="0" w:space="0" w:color="auto"/>
        <w:right w:val="none" w:sz="0" w:space="0" w:color="auto"/>
      </w:divBdr>
    </w:div>
    <w:div w:id="2095276301">
      <w:bodyDiv w:val="1"/>
      <w:marLeft w:val="0"/>
      <w:marRight w:val="0"/>
      <w:marTop w:val="0"/>
      <w:marBottom w:val="0"/>
      <w:divBdr>
        <w:top w:val="none" w:sz="0" w:space="0" w:color="auto"/>
        <w:left w:val="none" w:sz="0" w:space="0" w:color="auto"/>
        <w:bottom w:val="none" w:sz="0" w:space="0" w:color="auto"/>
        <w:right w:val="none" w:sz="0" w:space="0" w:color="auto"/>
      </w:divBdr>
    </w:div>
    <w:div w:id="2101484653">
      <w:bodyDiv w:val="1"/>
      <w:marLeft w:val="0"/>
      <w:marRight w:val="0"/>
      <w:marTop w:val="0"/>
      <w:marBottom w:val="0"/>
      <w:divBdr>
        <w:top w:val="none" w:sz="0" w:space="0" w:color="auto"/>
        <w:left w:val="none" w:sz="0" w:space="0" w:color="auto"/>
        <w:bottom w:val="none" w:sz="0" w:space="0" w:color="auto"/>
        <w:right w:val="none" w:sz="0" w:space="0" w:color="auto"/>
      </w:divBdr>
    </w:div>
    <w:div w:id="2130735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umantri.theguh@uinssc.ac.id"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idin.saepudin@uinjkt.ac.id"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hyperlink" Target="https://jurnal.uinsu.ac.id/index.php/ushuluddin" TargetMode="External"/><Relationship Id="rId2" Type="http://schemas.openxmlformats.org/officeDocument/2006/relationships/image" Target="media/image1.png"/><Relationship Id="rId1" Type="http://schemas.openxmlformats.org/officeDocument/2006/relationships/hyperlink" Target="mailto:ushuluddin@uinsu.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CADDE1-CD28-4521-9033-6A8AB93F8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22</Pages>
  <Words>7244</Words>
  <Characters>41293</Characters>
  <Application>Microsoft Office Word</Application>
  <DocSecurity>0</DocSecurity>
  <Lines>344</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user</cp:lastModifiedBy>
  <cp:revision>3</cp:revision>
  <cp:lastPrinted>2025-07-09T03:01:00Z</cp:lastPrinted>
  <dcterms:created xsi:type="dcterms:W3CDTF">2025-07-09T03:01:00Z</dcterms:created>
  <dcterms:modified xsi:type="dcterms:W3CDTF">2025-07-09T03:10:00Z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e59b83aa-bc4f-36dc-89f9-3e70101418fe</vt:lpwstr>
  </property>
  <property fmtid="{D5CDD505-2E9C-101B-9397-08002B2CF9AE}" pid="4" name="Mendeley Citation Style_1">
    <vt:lpwstr>http://www.zotero.org/styles/chicago-fullnote-bibliography</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http://www.zotero.org/styles/chicago-author-date</vt:lpwstr>
  </property>
  <property fmtid="{D5CDD505-2E9C-101B-9397-08002B2CF9AE}" pid="10" name="Mendeley Recent Style Name 2_1">
    <vt:lpwstr>Chicago Manual of Style 17th edition (author-date)</vt:lpwstr>
  </property>
  <property fmtid="{D5CDD505-2E9C-101B-9397-08002B2CF9AE}" pid="11" name="Mendeley Recent Style Id 3_1">
    <vt:lpwstr>http://www.zotero.org/styles/chicago-fullnote-bibliography</vt:lpwstr>
  </property>
  <property fmtid="{D5CDD505-2E9C-101B-9397-08002B2CF9AE}" pid="12" name="Mendeley Recent Style Name 3_1">
    <vt:lpwstr>Chicago Manual of Style 17th edition (full note)</vt:lpwstr>
  </property>
  <property fmtid="{D5CDD505-2E9C-101B-9397-08002B2CF9AE}" pid="13" name="Mendeley Recent Style Id 4_1">
    <vt:lpwstr>http://www.zotero.org/styles/ieee</vt:lpwstr>
  </property>
  <property fmtid="{D5CDD505-2E9C-101B-9397-08002B2CF9AE}" pid="14" name="Mendeley Recent Style Name 4_1">
    <vt:lpwstr>IEEE</vt:lpwstr>
  </property>
  <property fmtid="{D5CDD505-2E9C-101B-9397-08002B2CF9AE}" pid="15" name="Mendeley Recent Style Id 5_1">
    <vt:lpwstr>http://www.zotero.org/styles/modern-humanities-research-association</vt:lpwstr>
  </property>
  <property fmtid="{D5CDD505-2E9C-101B-9397-08002B2CF9AE}" pid="16" name="Mendeley Recent Style Name 5_1">
    <vt:lpwstr>Modern Humanities Research Association 3rd edition (note with bibliography)</vt:lpwstr>
  </property>
  <property fmtid="{D5CDD505-2E9C-101B-9397-08002B2CF9AE}" pid="17" name="Mendeley Recent Style Id 6_1">
    <vt:lpwstr>http://www.zotero.org/styles/modern-language-association-6th-edition-note</vt:lpwstr>
  </property>
  <property fmtid="{D5CDD505-2E9C-101B-9397-08002B2CF9AE}" pid="18" name="Mendeley Recent Style Name 6_1">
    <vt:lpwstr>Modern Language Association 6th edition (note)</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9th edition</vt:lpwstr>
  </property>
  <property fmtid="{D5CDD505-2E9C-101B-9397-08002B2CF9AE}" pid="21" name="Mendeley Recent Style Id 8_1">
    <vt:lpwstr>http://www.zotero.org/styles/turabian-fullnote-bibliography-8th-edition</vt:lpwstr>
  </property>
  <property fmtid="{D5CDD505-2E9C-101B-9397-08002B2CF9AE}" pid="22" name="Mendeley Recent Style Name 8_1">
    <vt:lpwstr>Turabian 8th edition (full note)</vt:lpwstr>
  </property>
  <property fmtid="{D5CDD505-2E9C-101B-9397-08002B2CF9AE}" pid="23" name="Mendeley Recent Style Id 9_1">
    <vt:lpwstr>http://www.zotero.org/styles/turabian-author-date</vt:lpwstr>
  </property>
  <property fmtid="{D5CDD505-2E9C-101B-9397-08002B2CF9AE}" pid="24" name="Mendeley Recent Style Name 9_1">
    <vt:lpwstr>Turabian 9th edition (author-date)</vt:lpwstr>
  </property>
</Properties>
</file>