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1FAF7B75" w14:textId="77777777" w:rsidR="00A5273B" w:rsidRDefault="00A5273B" w:rsidP="00A5273B">
      <w:pPr>
        <w:pStyle w:val="IlmuDakwah11Judul"/>
        <w:spacing w:before="240"/>
        <w:ind w:firstLine="0"/>
        <w:jc w:val="left"/>
      </w:pPr>
    </w:p>
    <w:p w14:paraId="7C341D77" w14:textId="483F827E" w:rsidR="00176DA0" w:rsidRPr="00C07A1F" w:rsidRDefault="00581464" w:rsidP="00A5273B">
      <w:pPr>
        <w:spacing w:after="0"/>
        <w:jc w:val="center"/>
        <w:rPr>
          <w:rFonts w:ascii="Garamond" w:hAnsi="Garamond"/>
          <w:b/>
          <w:bCs/>
          <w:sz w:val="32"/>
          <w:szCs w:val="32"/>
          <w:lang w:val="en-US"/>
        </w:rPr>
      </w:pPr>
      <w:r>
        <w:rPr>
          <w:rFonts w:ascii="Garamond" w:hAnsi="Garamond"/>
          <w:b/>
          <w:bCs/>
          <w:sz w:val="32"/>
          <w:szCs w:val="32"/>
          <w:lang w:val="en-US"/>
        </w:rPr>
        <w:t xml:space="preserve">Komunikasi </w:t>
      </w:r>
      <w:proofErr w:type="spellStart"/>
      <w:r>
        <w:rPr>
          <w:rFonts w:ascii="Garamond" w:hAnsi="Garamond"/>
          <w:b/>
          <w:bCs/>
          <w:sz w:val="32"/>
          <w:szCs w:val="32"/>
          <w:lang w:val="en-US"/>
        </w:rPr>
        <w:t>Profetik</w:t>
      </w:r>
      <w:proofErr w:type="spellEnd"/>
      <w:r>
        <w:rPr>
          <w:rFonts w:ascii="Garamond" w:hAnsi="Garamond"/>
          <w:b/>
          <w:bCs/>
          <w:sz w:val="32"/>
          <w:szCs w:val="32"/>
          <w:lang w:val="en-US"/>
        </w:rPr>
        <w:t xml:space="preserve">: Strategi </w:t>
      </w:r>
      <w:proofErr w:type="spellStart"/>
      <w:r>
        <w:rPr>
          <w:rFonts w:ascii="Garamond" w:hAnsi="Garamond"/>
          <w:b/>
          <w:bCs/>
          <w:sz w:val="32"/>
          <w:szCs w:val="32"/>
          <w:lang w:val="en-US"/>
        </w:rPr>
        <w:t>Berdakwah</w:t>
      </w:r>
      <w:proofErr w:type="spellEnd"/>
      <w:r>
        <w:rPr>
          <w:rFonts w:ascii="Garamond" w:hAnsi="Garamond"/>
          <w:b/>
          <w:bCs/>
          <w:sz w:val="32"/>
          <w:szCs w:val="32"/>
          <w:lang w:val="en-US"/>
        </w:rPr>
        <w:t xml:space="preserve"> di Era </w:t>
      </w:r>
      <w:r w:rsidRPr="00581464">
        <w:rPr>
          <w:rFonts w:ascii="Garamond" w:hAnsi="Garamond"/>
          <w:b/>
          <w:bCs/>
          <w:i/>
          <w:iCs/>
          <w:sz w:val="32"/>
          <w:szCs w:val="32"/>
          <w:lang w:val="en-US"/>
        </w:rPr>
        <w:t>New Media</w:t>
      </w:r>
    </w:p>
    <w:p w14:paraId="19DBBCCF" w14:textId="024E1745" w:rsidR="005E1A0F" w:rsidRPr="00552FEF" w:rsidRDefault="008E0368" w:rsidP="005E1A0F">
      <w:pPr>
        <w:spacing w:before="240" w:after="0" w:line="259" w:lineRule="auto"/>
        <w:ind w:right="10"/>
        <w:jc w:val="center"/>
        <w:rPr>
          <w:rFonts w:ascii="Garamond" w:hAnsi="Garamond"/>
          <w:sz w:val="24"/>
          <w:szCs w:val="24"/>
          <w:vertAlign w:val="superscript"/>
          <w:lang w:val="en-US"/>
        </w:rPr>
      </w:pPr>
      <w:proofErr w:type="spellStart"/>
      <w:r>
        <w:rPr>
          <w:rFonts w:ascii="Garamond" w:hAnsi="Garamond"/>
          <w:b/>
          <w:sz w:val="28"/>
          <w:szCs w:val="28"/>
          <w:lang w:val="en-US"/>
        </w:rPr>
        <w:t>Erwan</w:t>
      </w:r>
      <w:proofErr w:type="spellEnd"/>
      <w:r>
        <w:rPr>
          <w:rFonts w:ascii="Garamond" w:hAnsi="Garamond"/>
          <w:b/>
          <w:sz w:val="28"/>
          <w:szCs w:val="28"/>
          <w:lang w:val="en-US"/>
        </w:rPr>
        <w:t xml:space="preserve"> Efendi</w:t>
      </w:r>
      <w:r w:rsidR="00C07A1F">
        <w:rPr>
          <w:rFonts w:ascii="Garamond" w:hAnsi="Garamond"/>
          <w:b/>
          <w:sz w:val="28"/>
          <w:szCs w:val="28"/>
          <w:vertAlign w:val="superscript"/>
          <w:lang w:val="en-US"/>
        </w:rPr>
        <w:t>1</w:t>
      </w:r>
      <w:r w:rsidR="005E1A0F" w:rsidRPr="005E1A0F">
        <w:rPr>
          <w:rFonts w:ascii="Garamond" w:hAnsi="Garamond"/>
          <w:b/>
          <w:sz w:val="28"/>
          <w:szCs w:val="28"/>
        </w:rPr>
        <w:t xml:space="preserve">, </w:t>
      </w:r>
      <w:proofErr w:type="spellStart"/>
      <w:r>
        <w:rPr>
          <w:rFonts w:ascii="Garamond" w:hAnsi="Garamond"/>
          <w:b/>
          <w:sz w:val="28"/>
          <w:szCs w:val="28"/>
          <w:lang w:val="en-US"/>
        </w:rPr>
        <w:t>Ardhian</w:t>
      </w:r>
      <w:proofErr w:type="spellEnd"/>
      <w:r>
        <w:rPr>
          <w:rFonts w:ascii="Garamond" w:hAnsi="Garamond"/>
          <w:b/>
          <w:sz w:val="28"/>
          <w:szCs w:val="28"/>
          <w:lang w:val="en-US"/>
        </w:rPr>
        <w:t xml:space="preserve"> Hasyim Fadhillah</w:t>
      </w:r>
      <w:r w:rsidR="00C07A1F">
        <w:rPr>
          <w:rFonts w:ascii="Garamond" w:hAnsi="Garamond"/>
          <w:b/>
          <w:sz w:val="28"/>
          <w:szCs w:val="28"/>
          <w:vertAlign w:val="superscript"/>
          <w:lang w:val="en-US"/>
        </w:rPr>
        <w:t>2</w:t>
      </w:r>
      <w:r>
        <w:rPr>
          <w:rFonts w:ascii="Garamond" w:hAnsi="Garamond"/>
          <w:b/>
          <w:sz w:val="28"/>
          <w:szCs w:val="28"/>
          <w:vertAlign w:val="superscript"/>
          <w:lang w:val="en-US"/>
        </w:rPr>
        <w:t>*</w:t>
      </w:r>
      <w:r w:rsidR="00552FEF">
        <w:rPr>
          <w:rFonts w:ascii="Garamond" w:hAnsi="Garamond"/>
          <w:b/>
          <w:sz w:val="28"/>
          <w:szCs w:val="28"/>
          <w:lang w:val="en-US"/>
        </w:rPr>
        <w:t xml:space="preserve">, </w:t>
      </w:r>
      <w:proofErr w:type="spellStart"/>
      <w:r>
        <w:rPr>
          <w:rFonts w:ascii="Garamond" w:hAnsi="Garamond"/>
          <w:b/>
          <w:sz w:val="28"/>
          <w:szCs w:val="28"/>
          <w:lang w:val="en-US"/>
        </w:rPr>
        <w:t>Syahrizal</w:t>
      </w:r>
      <w:proofErr w:type="spellEnd"/>
      <w:r>
        <w:rPr>
          <w:rFonts w:ascii="Garamond" w:hAnsi="Garamond"/>
          <w:b/>
          <w:sz w:val="28"/>
          <w:szCs w:val="28"/>
          <w:lang w:val="en-US"/>
        </w:rPr>
        <w:t xml:space="preserve"> Efendi Hasibuan</w:t>
      </w:r>
      <w:r w:rsidR="00552FEF">
        <w:rPr>
          <w:rFonts w:ascii="Garamond" w:hAnsi="Garamond"/>
          <w:b/>
          <w:sz w:val="28"/>
          <w:szCs w:val="28"/>
          <w:vertAlign w:val="superscript"/>
          <w:lang w:val="en-US"/>
        </w:rPr>
        <w:t>3</w:t>
      </w:r>
    </w:p>
    <w:p w14:paraId="75755557" w14:textId="683FA11B" w:rsidR="004855FD" w:rsidRPr="0021205E" w:rsidRDefault="00C07A1F" w:rsidP="004855FD">
      <w:pPr>
        <w:spacing w:after="0" w:line="240" w:lineRule="auto"/>
        <w:jc w:val="center"/>
        <w:rPr>
          <w:rFonts w:ascii="Garamond" w:hAnsi="Garamond"/>
          <w:sz w:val="20"/>
          <w:szCs w:val="20"/>
        </w:rPr>
      </w:pPr>
      <w:r>
        <w:rPr>
          <w:rFonts w:ascii="Garamond" w:hAnsi="Garamond"/>
          <w:sz w:val="20"/>
          <w:szCs w:val="20"/>
          <w:vertAlign w:val="superscript"/>
          <w:lang w:val="en-US"/>
        </w:rPr>
        <w:t>1</w:t>
      </w:r>
      <w:r w:rsidR="005E1A0F" w:rsidRPr="0021205E">
        <w:rPr>
          <w:rFonts w:ascii="Garamond" w:hAnsi="Garamond"/>
          <w:sz w:val="20"/>
          <w:szCs w:val="20"/>
        </w:rPr>
        <w:t xml:space="preserve">Universitas Islam Negeri </w:t>
      </w:r>
      <w:r w:rsidR="008E0368">
        <w:rPr>
          <w:rFonts w:ascii="Garamond" w:hAnsi="Garamond"/>
          <w:sz w:val="20"/>
          <w:szCs w:val="20"/>
          <w:lang w:val="en-US"/>
        </w:rPr>
        <w:t>Sumatera Utara Medan</w:t>
      </w:r>
      <w:r>
        <w:rPr>
          <w:rFonts w:ascii="Garamond" w:hAnsi="Garamond"/>
          <w:sz w:val="20"/>
          <w:szCs w:val="20"/>
          <w:lang w:val="en-US"/>
        </w:rPr>
        <w:t xml:space="preserve">, </w:t>
      </w:r>
      <w:r>
        <w:rPr>
          <w:rFonts w:ascii="Garamond" w:hAnsi="Garamond"/>
          <w:sz w:val="20"/>
          <w:szCs w:val="20"/>
          <w:vertAlign w:val="superscript"/>
          <w:lang w:val="en-US"/>
        </w:rPr>
        <w:t>2</w:t>
      </w:r>
      <w:r w:rsidR="00552FEF" w:rsidRPr="0021205E">
        <w:rPr>
          <w:rFonts w:ascii="Garamond" w:hAnsi="Garamond"/>
          <w:sz w:val="20"/>
          <w:szCs w:val="20"/>
        </w:rPr>
        <w:t xml:space="preserve">Universitas Islam Negeri </w:t>
      </w:r>
      <w:r w:rsidR="008E0368">
        <w:rPr>
          <w:rFonts w:ascii="Garamond" w:hAnsi="Garamond"/>
          <w:sz w:val="20"/>
          <w:szCs w:val="20"/>
          <w:lang w:val="en-US"/>
        </w:rPr>
        <w:t>Sumatera Utara Medan</w:t>
      </w:r>
      <w:r w:rsidR="00552FEF">
        <w:rPr>
          <w:rFonts w:ascii="Garamond" w:hAnsi="Garamond"/>
          <w:sz w:val="20"/>
          <w:szCs w:val="20"/>
          <w:lang w:val="en-US"/>
        </w:rPr>
        <w:t xml:space="preserve">, </w:t>
      </w:r>
      <w:r w:rsidR="00552FEF">
        <w:rPr>
          <w:rFonts w:ascii="Garamond" w:hAnsi="Garamond"/>
          <w:sz w:val="20"/>
          <w:szCs w:val="20"/>
          <w:vertAlign w:val="superscript"/>
          <w:lang w:val="en-US"/>
        </w:rPr>
        <w:t>3</w:t>
      </w:r>
      <w:r w:rsidR="008E0368">
        <w:rPr>
          <w:rFonts w:ascii="Garamond" w:hAnsi="Garamond"/>
          <w:sz w:val="20"/>
          <w:szCs w:val="20"/>
          <w:lang w:val="en-US"/>
        </w:rPr>
        <w:t>Universitas Islam Negeri Sumatera Utara Medan</w:t>
      </w:r>
      <w:r w:rsidR="005E1A0F" w:rsidRPr="0021205E">
        <w:rPr>
          <w:rFonts w:ascii="Garamond" w:hAnsi="Garamond"/>
          <w:sz w:val="20"/>
          <w:szCs w:val="20"/>
        </w:rPr>
        <w:t xml:space="preserve">  </w:t>
      </w:r>
    </w:p>
    <w:p w14:paraId="1EA376B2" w14:textId="0AD89CD0" w:rsidR="005E1A0F" w:rsidRPr="00552FEF" w:rsidRDefault="00122A91" w:rsidP="004855FD">
      <w:pPr>
        <w:spacing w:after="0" w:line="240" w:lineRule="auto"/>
        <w:jc w:val="center"/>
        <w:rPr>
          <w:rFonts w:ascii="Garamond" w:hAnsi="Garamond"/>
          <w:sz w:val="20"/>
          <w:szCs w:val="20"/>
          <w:lang w:val="en-US"/>
        </w:rPr>
      </w:pPr>
      <w:r w:rsidRPr="001C63CB">
        <w:rPr>
          <w:rFonts w:ascii="Garamond" w:hAnsi="Garamond"/>
          <w:i/>
          <w:iCs/>
          <w:sz w:val="20"/>
          <w:szCs w:val="20"/>
          <w:vertAlign w:val="superscript"/>
          <w:lang w:val="en-US"/>
        </w:rPr>
        <w:t>*</w:t>
      </w:r>
      <w:proofErr w:type="gramStart"/>
      <w:r w:rsidRPr="001C63CB">
        <w:rPr>
          <w:rFonts w:ascii="Garamond" w:hAnsi="Garamond"/>
          <w:i/>
          <w:iCs/>
          <w:sz w:val="20"/>
          <w:szCs w:val="20"/>
          <w:lang w:val="en-US"/>
        </w:rPr>
        <w:t>email</w:t>
      </w:r>
      <w:proofErr w:type="gramEnd"/>
      <w:r w:rsidRPr="001C63CB">
        <w:rPr>
          <w:rFonts w:ascii="Garamond" w:hAnsi="Garamond"/>
          <w:i/>
          <w:iCs/>
          <w:sz w:val="20"/>
          <w:szCs w:val="20"/>
          <w:lang w:val="en-US"/>
        </w:rPr>
        <w:t xml:space="preserve">: </w:t>
      </w:r>
      <w:hyperlink r:id="rId9" w:history="1">
        <w:r w:rsidR="007D5BC6" w:rsidRPr="00C55662">
          <w:rPr>
            <w:rStyle w:val="Hyperlink"/>
            <w:rFonts w:ascii="Garamond" w:hAnsi="Garamond" w:cstheme="minorBidi"/>
            <w:sz w:val="20"/>
            <w:szCs w:val="20"/>
            <w:vertAlign w:val="superscript"/>
            <w:lang w:val="en-US"/>
          </w:rPr>
          <w:t>*</w:t>
        </w:r>
        <w:r w:rsidR="007D5BC6" w:rsidRPr="00C55662">
          <w:rPr>
            <w:rStyle w:val="Hyperlink"/>
            <w:rFonts w:ascii="Garamond" w:hAnsi="Garamond"/>
            <w:sz w:val="20"/>
            <w:szCs w:val="20"/>
            <w:lang w:val="en-US"/>
          </w:rPr>
          <w:t>ardhianhasyimfadhillah@gmail.com</w:t>
        </w:r>
      </w:hyperlink>
      <w:r w:rsidR="007D5BC6">
        <w:rPr>
          <w:rFonts w:ascii="Garamond" w:hAnsi="Garamond" w:cs="Times New Roman"/>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p w14:paraId="36766879" w14:textId="609BCEA1" w:rsidR="006878D0" w:rsidRPr="00E86C28" w:rsidRDefault="00E86C28" w:rsidP="006878D0">
      <w:pPr>
        <w:spacing w:after="0" w:line="240" w:lineRule="auto"/>
        <w:ind w:right="29"/>
        <w:jc w:val="both"/>
        <w:rPr>
          <w:rFonts w:ascii="Garamond" w:hAnsi="Garamond"/>
          <w:i/>
        </w:rPr>
      </w:pPr>
      <w:r w:rsidRPr="00E86C28">
        <w:rPr>
          <w:rFonts w:ascii="Garamond" w:hAnsi="Garamond" w:cs="Times New Roman"/>
        </w:rPr>
        <w:t>This article aims to find out the prophetic values of communication in preaching in the new media era. Today there are problems in preaching where ethical violations are rampant in new media. Ironically, the existing regulations have not been able to reduce the ethical violations that have occurred so that wild opinions are formed in society. In addition, preaching that ignores ethics causes social segregation and divisions in society. This study uses the literature review method by examining the literature relating to the theme. The data in this article is collected by the author through observation on social media and then reduced by content analysis. The results show that ethical neglect still occurs and is characterized by several contemporary phenomena. To reduce this problem, the Qur'an describes six prophetic communication of the Apostles as a standard in preaching. These six ethics can then be used as a da'wah strategy so that people can accept normative messages and can improve social order</w:t>
      </w:r>
      <w:r w:rsidR="006878D0" w:rsidRPr="00E86C28">
        <w:rPr>
          <w:rFonts w:ascii="Garamond" w:hAnsi="Garamond"/>
          <w:i/>
        </w:rPr>
        <w:t xml:space="preserve">. </w:t>
      </w:r>
    </w:p>
    <w:p w14:paraId="01F88797" w14:textId="2774D337" w:rsidR="006878D0" w:rsidRPr="006878D0" w:rsidRDefault="006878D0" w:rsidP="006878D0">
      <w:pPr>
        <w:pStyle w:val="IlmuDakwah15bAbstractBInggrisBody"/>
      </w:pPr>
      <w:r w:rsidRPr="006878D0">
        <w:rPr>
          <w:b/>
          <w:bCs/>
        </w:rPr>
        <w:t>Keywords:</w:t>
      </w:r>
      <w:r w:rsidRPr="006878D0">
        <w:t xml:space="preserve"> </w:t>
      </w:r>
      <w:r w:rsidR="00E86C28">
        <w:rPr>
          <w:rFonts w:cs="Times New Roman"/>
          <w:iCs/>
          <w:color w:val="000000" w:themeColor="text1"/>
        </w:rPr>
        <w:t>Communication</w:t>
      </w:r>
      <w:r w:rsidR="00D02716">
        <w:rPr>
          <w:rFonts w:cs="Times New Roman"/>
          <w:iCs/>
          <w:color w:val="000000" w:themeColor="text1"/>
        </w:rPr>
        <w:t xml:space="preserve"> </w:t>
      </w:r>
      <w:proofErr w:type="spellStart"/>
      <w:r w:rsidR="00D02716">
        <w:rPr>
          <w:rFonts w:cs="Times New Roman"/>
          <w:iCs/>
          <w:color w:val="000000" w:themeColor="text1"/>
        </w:rPr>
        <w:t>Profetik</w:t>
      </w:r>
      <w:proofErr w:type="spellEnd"/>
      <w:r w:rsidR="006669C3">
        <w:rPr>
          <w:rFonts w:cs="Times New Roman"/>
          <w:iCs/>
          <w:color w:val="000000" w:themeColor="text1"/>
        </w:rPr>
        <w:t>;</w:t>
      </w:r>
      <w:r w:rsidR="007A6982" w:rsidRPr="00E01F6E">
        <w:rPr>
          <w:rFonts w:cs="Times New Roman"/>
          <w:iCs/>
          <w:color w:val="000000" w:themeColor="text1"/>
        </w:rPr>
        <w:t xml:space="preserve"> </w:t>
      </w:r>
      <w:r w:rsidR="00D02716">
        <w:rPr>
          <w:rFonts w:cs="Times New Roman"/>
          <w:iCs/>
          <w:color w:val="000000" w:themeColor="text1"/>
        </w:rPr>
        <w:t>Da’wah Strategy</w:t>
      </w:r>
      <w:r w:rsidR="006669C3">
        <w:rPr>
          <w:rFonts w:cs="Times New Roman"/>
          <w:iCs/>
          <w:color w:val="000000" w:themeColor="text1"/>
        </w:rPr>
        <w:t>;</w:t>
      </w:r>
      <w:r w:rsidR="007A6982" w:rsidRPr="00E01F6E">
        <w:rPr>
          <w:rFonts w:cs="Times New Roman"/>
          <w:iCs/>
          <w:color w:val="000000" w:themeColor="text1"/>
        </w:rPr>
        <w:t xml:space="preserve"> </w:t>
      </w:r>
      <w:r w:rsidR="00E86C28">
        <w:rPr>
          <w:rFonts w:cs="Times New Roman"/>
          <w:iCs/>
          <w:color w:val="000000" w:themeColor="text1"/>
        </w:rPr>
        <w:t xml:space="preserve">New </w:t>
      </w:r>
      <w:r w:rsidR="00D02716">
        <w:rPr>
          <w:rFonts w:cs="Times New Roman"/>
          <w:iCs/>
          <w:color w:val="000000" w:themeColor="text1"/>
        </w:rPr>
        <w:t>Media</w:t>
      </w:r>
      <w:r w:rsidRPr="006878D0">
        <w:t>.</w:t>
      </w:r>
    </w:p>
    <w:p w14:paraId="0DF89B92" w14:textId="7CFA6385" w:rsidR="00FD2992" w:rsidRPr="00433D1D" w:rsidRDefault="00FD2992" w:rsidP="00FD2992">
      <w:pPr>
        <w:pStyle w:val="IlmuDakwah16aAbstrakJudul"/>
      </w:pPr>
      <w:r w:rsidRPr="00433D1D">
        <w:t>ABSTRAK</w:t>
      </w:r>
    </w:p>
    <w:p w14:paraId="57FD1A28" w14:textId="2F833981" w:rsidR="00F91FE7" w:rsidRPr="00F54083" w:rsidRDefault="00F54083" w:rsidP="00F91FE7">
      <w:pPr>
        <w:spacing w:after="0" w:line="240" w:lineRule="auto"/>
        <w:ind w:left="-5" w:right="22"/>
        <w:jc w:val="both"/>
        <w:rPr>
          <w:rFonts w:ascii="Garamond" w:hAnsi="Garamond"/>
        </w:rPr>
      </w:pPr>
      <w:r w:rsidRPr="00F54083">
        <w:rPr>
          <w:rFonts w:ascii="Garamond" w:hAnsi="Garamond" w:cs="Times New Roman"/>
        </w:rPr>
        <w:t xml:space="preserve">Artikel ini bertujuan untuk mengetahui nilai-nilai profetik komunikasi dalam berdakwah di era meda baru. Dewasa ini muncul problematika dalam berdakwah dimana maraknya pelanggaran etik terjadi di media baru. Ironisnya, regulasi yang ada belum mumpuni untuk mereduksi pelanggaran etik yang terjadi sehingga terbentuk opini liar di tengah masyarakat. Selain itu, dakwah yang mengabaikan etika menyebabkan segregasi sosial dan perpecahan di tengah masyarakat. </w:t>
      </w:r>
      <w:r w:rsidRPr="00F54083">
        <w:rPr>
          <w:rFonts w:ascii="Garamond" w:hAnsi="Garamond" w:cs="Times New Roman"/>
        </w:rPr>
        <w:lastRenderedPageBreak/>
        <w:t>Penelitian ini menggunakan metode kajian pustaka dengan mengkaji literature yang berkenaan dengan tema. Data dalam artikel ini penulis kumpulkan melalui observasi di media sosial kemudian di reduksi dengan analisis isi. Hasil menunjukkan bahwa pengabaian etika masih terjadi dan ditandai dengan beberapa fenomena kontemporer. Untuk mereduksi problematika ini, Al-Qur'an menggambarkan enam profetik komunikasi para Rasul sebagai standar dalam berdakwah. Keenam etik inilah yang kemudian dapat dijadikan strategi berdakwah agar masyarakat dapat menerima pesan-pesan normatif dan dapat membenahi tatanan sosial</w:t>
      </w:r>
      <w:r w:rsidR="00F91FE7" w:rsidRPr="00F54083">
        <w:rPr>
          <w:rFonts w:ascii="Garamond" w:hAnsi="Garamond"/>
        </w:rPr>
        <w:t xml:space="preserve">. </w:t>
      </w:r>
    </w:p>
    <w:p w14:paraId="2912DBF7" w14:textId="410B545F" w:rsidR="003875A2" w:rsidRPr="002B1CD7" w:rsidRDefault="00F91FE7" w:rsidP="00F91FE7">
      <w:pPr>
        <w:pStyle w:val="IlmuDakwah16bAbstrakBody"/>
        <w:rPr>
          <w:lang w:val="en-US"/>
        </w:rPr>
      </w:pPr>
      <w:r w:rsidRPr="00F91FE7">
        <w:rPr>
          <w:b/>
        </w:rPr>
        <w:t>Kata kunci</w:t>
      </w:r>
      <w:r w:rsidRPr="00F91FE7">
        <w:t xml:space="preserve"> : </w:t>
      </w:r>
      <w:proofErr w:type="spellStart"/>
      <w:r w:rsidR="002B1CD7">
        <w:rPr>
          <w:rFonts w:cs="Times New Roman"/>
          <w:color w:val="000000" w:themeColor="text1"/>
          <w:lang w:val="en-US"/>
        </w:rPr>
        <w:t>Profetik</w:t>
      </w:r>
      <w:proofErr w:type="spellEnd"/>
      <w:r w:rsidR="002B1CD7">
        <w:rPr>
          <w:rFonts w:cs="Times New Roman"/>
          <w:color w:val="000000" w:themeColor="text1"/>
          <w:lang w:val="en-US"/>
        </w:rPr>
        <w:t xml:space="preserve"> Komunikasi; Strategi Dakwah; Media Baru.</w:t>
      </w:r>
    </w:p>
    <w:p w14:paraId="4A41DB63" w14:textId="77777777" w:rsidR="00FD2992" w:rsidRPr="00077E25" w:rsidRDefault="00FD2992" w:rsidP="00FD2992">
      <w:pPr>
        <w:pStyle w:val="IlmuDakwah21HeadingPENDAHULUANdst"/>
      </w:pPr>
      <w:r>
        <w:t>PENDAHULUAN</w:t>
      </w:r>
    </w:p>
    <w:bookmarkEnd w:id="0"/>
    <w:p w14:paraId="0F897ADD"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Pada dewasa ini, kegiatan komunikasi sudah memasuki era media baru. Perkembangan media yang diikuti dengan kemajuan teknologi dewasa ini mempermudah penyebarluasan pesan sehingga seluruh lapisan masyarakat dapat menerima pesan secara utuh dan masif. Ironisnya, kemudahan akses informasi ini justru menjadi boomerang dimana penyebarluasan pesan digunakan untuk menyampaikan hal-hal negatif. Hal ini ditandai dengan maraknya pelanggaran etik yang terjadi di media sosial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{"citationItems":[{"id":"ITEM-1","itemData":{"author":[{"dropping-particle":"","family":"Tatipang","given":"Raynal A.","non-dropping-particle":"","parse-names":false,"suffix":""}],"container-title":"Acta Diurna Komunikasi","id":"ITEM-1","issue":"4","issued":{"date-parts":[["2013"]]},"title":"FENOMENA PELANGGARAN KODE ETIK JURNALISTIK PASAL 12 TAHUN 2008 DI MEDIA ONLINEMANADO POST","type":"article-journal","volume":"II"},"uris":["http://www.mendeley.com/documents/?uuid=f364b8e7-b682-41b2-9c40-465012dac5ed"]}],"mendeley":{"formattedCitation":"(Tatipang, 2013)","plainTextFormattedCitation":"(Tatipang, 2013)","previouslyFormattedCitation":"(Tatipang, 2013)"},"properties":{"noteIndex":0},"schema":"https://github.com/citation-style-language/schema/raw/master/csl-citation.json"}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(Tatipang, 2013)</w:t>
      </w:r>
      <w:r w:rsidRPr="00CF7C36">
        <w:rPr>
          <w:rFonts w:ascii="Garamond" w:hAnsi="Garamond" w:cs="Times New Roman"/>
          <w:sz w:val="24"/>
          <w:szCs w:val="24"/>
        </w:rPr>
        <w:fldChar w:fldCharType="end"/>
      </w:r>
      <w:r w:rsidRPr="00CF7C36">
        <w:rPr>
          <w:rFonts w:ascii="Garamond" w:hAnsi="Garamond" w:cs="Times New Roman"/>
          <w:sz w:val="24"/>
          <w:szCs w:val="24"/>
        </w:rPr>
        <w:t>.</w:t>
      </w:r>
    </w:p>
    <w:p w14:paraId="58654691"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Contoh pelanggaran etik yang terjadi pada dewasa ini adalah plagiarisme, hoax, penipuan, pencemaran nama baik dan lain sebagainya. Problematika ini memperkeruh suasana bersosial di dunia maya. Realitas ini menunjukkan bahwa mudahnya penyebaran informasi menunjukkan adanya degradasi moral.</w:t>
      </w:r>
    </w:p>
    <w:p w14:paraId="36474054"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Krisis inilah yang menjadi problematika di Indonesia, pasalnya jumlah kriminalitas dunia maya menyebabkan kerusakan tatanan sosial hingga memunculkan perpecahan. Sebenarnya, pemerintah sudah berupaya untuk memaksimalkan potensi media baru dengan menerapkan beberapa regulasi agar tidak mencemari nilai-nilai sosial. Meski demikian, regulasi ini masih belum efektif karena pelanggaran etik di media sosial masih banyak.</w:t>
      </w:r>
    </w:p>
    <w:p w14:paraId="362FDD3A"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Idealnya, media sosial dapat dioptimalkan untuk menyebarkan pesan dakwah yang mampu membawa tatanan positif di tengah masyarakat. Pengabaian etika ini sangat fundamental yang umumnya dapat direduksi sejak dini. Berdakwah pada era media baru juga harus berorientasi pada etika-etika yang sudah tertera dan harus mengikuti regulasi yang sudah ditetapkan pemerintah.</w:t>
      </w:r>
    </w:p>
    <w:p w14:paraId="46A8F04E" w14:textId="77777777" w:rsidR="00CF7C36" w:rsidRDefault="00CF7C36" w:rsidP="00CF7C36">
      <w:pPr>
        <w:spacing w:after="0" w:line="240" w:lineRule="auto"/>
        <w:ind w:firstLine="567"/>
        <w:jc w:val="both"/>
        <w:rPr>
          <w:rFonts w:ascii="Garamond" w:hAnsi="Garamond" w:cs="Times New Roman"/>
          <w:sz w:val="24"/>
          <w:szCs w:val="24"/>
        </w:rPr>
      </w:pPr>
      <w:r w:rsidRPr="00CF7C36">
        <w:rPr>
          <w:rFonts w:ascii="Garamond" w:hAnsi="Garamond" w:cs="Times New Roman"/>
          <w:sz w:val="24"/>
          <w:szCs w:val="24"/>
        </w:rPr>
        <w:lastRenderedPageBreak/>
        <w:t>Permasalahan di atas menarik untuk dianalisis karena secara harfiah Al-Qur'an sudah memberikan gambaran etika berkomunikasi melalui komunikasi profetik. Melalui artikel ini penulis mengambil beberapa pertanyaan yang menjadi rumusan masalah yaitu: 1) Bagaimana strategi, etika dan profetik komunikasi di dalam Al-Qur'an? 2) Apa urgensi profetik  komunikasi dalam bersosial media?</w:t>
      </w:r>
    </w:p>
    <w:p w14:paraId="6FABFC92" w14:textId="77777777" w:rsidR="00CF7C36" w:rsidRDefault="00CF7C36" w:rsidP="00CF7C36">
      <w:pPr>
        <w:spacing w:after="0" w:line="240" w:lineRule="auto"/>
        <w:ind w:firstLine="567"/>
        <w:jc w:val="both"/>
        <w:rPr>
          <w:rFonts w:ascii="Garamond" w:hAnsi="Garamond" w:cs="Times New Roman"/>
          <w:bCs/>
          <w:sz w:val="24"/>
          <w:szCs w:val="24"/>
          <w:shd w:val="clear" w:color="auto" w:fill="FFFFFF"/>
        </w:rPr>
      </w:pPr>
      <w:r w:rsidRPr="00CF7C36">
        <w:rPr>
          <w:rFonts w:ascii="Garamond" w:hAnsi="Garamond" w:cs="Times New Roman"/>
          <w:i/>
          <w:sz w:val="24"/>
          <w:szCs w:val="24"/>
          <w:shd w:val="clear" w:color="auto" w:fill="FFFFFF"/>
        </w:rPr>
        <w:t>New media</w:t>
      </w:r>
      <w:r w:rsidRPr="00CF7C36">
        <w:rPr>
          <w:rFonts w:ascii="Garamond" w:hAnsi="Garamond" w:cs="Times New Roman"/>
          <w:sz w:val="24"/>
          <w:szCs w:val="24"/>
          <w:shd w:val="clear" w:color="auto" w:fill="FFFFFF"/>
        </w:rPr>
        <w:t xml:space="preserve"> adalah </w:t>
      </w:r>
      <w:r w:rsidRPr="00CF7C36">
        <w:rPr>
          <w:rFonts w:ascii="Garamond" w:hAnsi="Garamond" w:cs="Times New Roman"/>
          <w:bCs/>
          <w:sz w:val="24"/>
          <w:szCs w:val="24"/>
          <w:shd w:val="clear" w:color="auto" w:fill="FFFFFF"/>
        </w:rPr>
        <w:t xml:space="preserve">media yang menggunakan internet berbasis teknologi online, berkarakter fleksibel, berpotensi interaktif, serta dapat berfungsi secara privat atau publik </w:t>
      </w:r>
      <w:r w:rsidRPr="00CF7C36">
        <w:rPr>
          <w:rFonts w:ascii="Garamond" w:hAnsi="Garamond" w:cs="Times New Roman"/>
          <w:bCs/>
          <w:sz w:val="24"/>
          <w:szCs w:val="24"/>
          <w:shd w:val="clear" w:color="auto" w:fill="FFFFFF"/>
        </w:rPr>
        <w:fldChar w:fldCharType="begin" w:fldLock="1"/>
      </w:r>
      <w:r w:rsidRPr="00CF7C36">
        <w:rPr>
          <w:rFonts w:ascii="Garamond" w:hAnsi="Garamond" w:cs="Times New Roman"/>
          <w:bCs/>
          <w:sz w:val="24"/>
          <w:szCs w:val="24"/>
          <w:shd w:val="clear" w:color="auto" w:fill="FFFFFF"/>
        </w:rPr>
        <w:instrText>ADDIN CSL_CITATION {"citationItems":[{"id":"ITEM-1","itemData":{"ISBN":"9786239644994","author":[{"dropping-particle":"","family":"Ginting","given":"R","non-dropping-particle":"","parse-names":false,"suffix":""},{"dropping-particle":"","family":"Yulistiyono","given":"A","non-dropping-particle":"","parse-names":false,"suffix":""},{"dropping-particle":"","family":"Rauf","given":"A","non-dropping-particle":"","parse-names":false,"suffix":""},{"dropping-particle":"","family":"Manullang","given":"S O","non-dropping-particle":"","parse-names":false,"suffix":""},{"dropping-particle":"","family":"Siahaan","given":"A L S","non-dropping-particle":"","parse-names":false,"suffix":""},{"dropping-particle":"","family":"Kussanti","given":"D P","non-dropping-particle":"","parse-names":false,"suffix":""},{"dropping-particle":"","family":"S","given":"T.E.A.P.","non-dropping-particle":"","parse-names":false,"suffix":""},{"dropping-particle":"","family":"Djaya","given":"T R","non-dropping-particle":"","parse-names":false,"suffix":""},{"dropping-particle":"","family":"Ayu","given":"A S","non-dropping-particle":"","parse-names":false,"suffix":""},{"dropping-particle":"","family":"Effendy","given":"F","non-dropping-particle":"","parse-names":false,"suffix":""},{"dropping-particle":"","family":"others","given":"","non-dropping-particle":"","parse-names":false,"suffix":""}],"collection-title":"1","id":"ITEM-1","issued":{"date-parts":[["2021"]]},"publisher":"Penerbit Insania","title":"Etika Komunikasi dalam Media Sosial : Saring Sebelum Sharing","type":"book"},"uris":["http://www.mendeley.com/documents/?uuid=20b177f4-7745-4d57-b48c-b09f49e293dd"]}],"mendeley":{"formattedCitation":"(Ginting et al., 2021)","plainTextFormattedCitation":"(Ginting et al., 2021)","previouslyFormattedCitation":"(Ginting et al., 2021)"},"properties":{"noteIndex":0},"schema":"https://github.com/citation-style-language/schema/raw/master/csl-citation.json"}</w:instrText>
      </w:r>
      <w:r w:rsidRPr="00CF7C36">
        <w:rPr>
          <w:rFonts w:ascii="Garamond" w:hAnsi="Garamond" w:cs="Times New Roman"/>
          <w:bCs/>
          <w:sz w:val="24"/>
          <w:szCs w:val="24"/>
          <w:shd w:val="clear" w:color="auto" w:fill="FFFFFF"/>
        </w:rPr>
        <w:fldChar w:fldCharType="separate"/>
      </w:r>
      <w:r w:rsidRPr="00CF7C36">
        <w:rPr>
          <w:rFonts w:ascii="Garamond" w:hAnsi="Garamond" w:cs="Times New Roman"/>
          <w:bCs/>
          <w:noProof/>
          <w:sz w:val="24"/>
          <w:szCs w:val="24"/>
          <w:shd w:val="clear" w:color="auto" w:fill="FFFFFF"/>
        </w:rPr>
        <w:t>(Ginting et al., 2021)</w:t>
      </w:r>
      <w:r w:rsidRPr="00CF7C36">
        <w:rPr>
          <w:rFonts w:ascii="Garamond" w:hAnsi="Garamond" w:cs="Times New Roman"/>
          <w:bCs/>
          <w:sz w:val="24"/>
          <w:szCs w:val="24"/>
          <w:shd w:val="clear" w:color="auto" w:fill="FFFFFF"/>
        </w:rPr>
        <w:fldChar w:fldCharType="end"/>
      </w:r>
      <w:r w:rsidRPr="00CF7C36">
        <w:rPr>
          <w:rFonts w:ascii="Garamond" w:hAnsi="Garamond" w:cs="Times New Roman"/>
          <w:bCs/>
          <w:sz w:val="24"/>
          <w:szCs w:val="24"/>
          <w:shd w:val="clear" w:color="auto" w:fill="FFFFFF"/>
        </w:rPr>
        <w:t>. Paparan di atas menunjukkan bahwa media baru memiliki karakteristik yaitu harus terhubung ke internet, komunikasi dua arah dan multifungsi.</w:t>
      </w:r>
    </w:p>
    <w:p w14:paraId="0CF5BA60" w14:textId="77777777" w:rsidR="00CF7C36" w:rsidRDefault="00CF7C36" w:rsidP="00CF7C36">
      <w:pPr>
        <w:spacing w:after="0" w:line="240" w:lineRule="auto"/>
        <w:ind w:firstLine="567"/>
        <w:jc w:val="both"/>
        <w:rPr>
          <w:rFonts w:ascii="Garamond" w:hAnsi="Garamond" w:cs="Times New Roman"/>
          <w:sz w:val="24"/>
          <w:szCs w:val="24"/>
        </w:rPr>
      </w:pPr>
      <w:r w:rsidRPr="00CF7C36">
        <w:rPr>
          <w:rFonts w:ascii="Garamond" w:hAnsi="Garamond" w:cs="Times New Roman"/>
          <w:sz w:val="24"/>
          <w:szCs w:val="24"/>
        </w:rPr>
        <w:t xml:space="preserve">Pada era teknologi 4.0 saat ini media mengalami perubahan dari segi penyajian informasi yakni dengan munculnya koran online, youtube dan </w:t>
      </w:r>
      <w:r w:rsidRPr="00CF7C36">
        <w:rPr>
          <w:rFonts w:ascii="Garamond" w:hAnsi="Garamond" w:cs="Times New Roman"/>
          <w:i/>
          <w:sz w:val="24"/>
          <w:szCs w:val="24"/>
        </w:rPr>
        <w:t>platform</w:t>
      </w:r>
      <w:r w:rsidRPr="00CF7C36">
        <w:rPr>
          <w:rFonts w:ascii="Garamond" w:hAnsi="Garamond" w:cs="Times New Roman"/>
          <w:sz w:val="24"/>
          <w:szCs w:val="24"/>
        </w:rPr>
        <w:t xml:space="preserve"> lain. Pada mulanya, penggunaan media baru belum semarak saat ini karena pada awal perkembangannya media baru cukup sulit di akses karena gawai pada masa itu hanya untuk telepon dan mengirim pesan. Selain itu, media yang dapat digunakan untuk mengakses media baru adalah komputer dan laptop yang notabene sulit untuk dibawa kemana saja.</w:t>
      </w:r>
    </w:p>
    <w:p w14:paraId="348191A1" w14:textId="77777777" w:rsidR="00CF7C36" w:rsidRDefault="00CF7C36" w:rsidP="00CF7C36">
      <w:pPr>
        <w:spacing w:after="0" w:line="240" w:lineRule="auto"/>
        <w:ind w:firstLine="567"/>
        <w:jc w:val="both"/>
        <w:rPr>
          <w:rFonts w:ascii="Garamond" w:hAnsi="Garamond" w:cs="Times New Roman"/>
          <w:sz w:val="24"/>
          <w:szCs w:val="24"/>
        </w:rPr>
      </w:pPr>
      <w:r w:rsidRPr="00CF7C36">
        <w:rPr>
          <w:rFonts w:ascii="Garamond" w:hAnsi="Garamond" w:cs="Times New Roman"/>
          <w:sz w:val="24"/>
          <w:szCs w:val="24"/>
        </w:rPr>
        <w:t xml:space="preserve">Teori </w:t>
      </w:r>
      <w:r w:rsidRPr="00CF7C36">
        <w:rPr>
          <w:rFonts w:ascii="Garamond" w:hAnsi="Garamond" w:cs="Times New Roman"/>
          <w:i/>
          <w:sz w:val="24"/>
          <w:szCs w:val="24"/>
        </w:rPr>
        <w:t>new media</w:t>
      </w:r>
      <w:r w:rsidRPr="00CF7C36">
        <w:rPr>
          <w:rFonts w:ascii="Garamond" w:hAnsi="Garamond" w:cs="Times New Roman"/>
          <w:sz w:val="24"/>
          <w:szCs w:val="24"/>
        </w:rPr>
        <w:t xml:space="preserve"> atau media baru merupakan istilah yang digunakan untuk berbagai teknologi komunikasi dengan digitalisasi dan ketersediaannya yang luas untuk penggunaan pribadi sebagai alat komunikasi. Media baru muncul dari berbagai inovasi media lama yang kurang relevan lagi dengan perkembangan teknologi di masa sekarang.</w:t>
      </w:r>
    </w:p>
    <w:p w14:paraId="04959141"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Seiring perkembangan teknologi, media yang digunakan untuk mengakses media baru sudah sangat sederhana yakni dengan gawai dan sinyal internet yang sudah tersedia di seluruh tempat. Gawai dan internet merupakan perkawinan sempurna bagi masyarakat sehingga memunculkan pergeseran sifat dan kebiasaan bagi masyarakat.</w:t>
      </w:r>
    </w:p>
    <w:p w14:paraId="2DCB2823"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Dalam </w:t>
      </w:r>
      <w:r w:rsidRPr="00CF7C36">
        <w:rPr>
          <w:rFonts w:ascii="Garamond" w:hAnsi="Garamond" w:cs="Times New Roman"/>
          <w:i/>
          <w:sz w:val="24"/>
          <w:szCs w:val="24"/>
        </w:rPr>
        <w:t>Kamus Besar Bahasa Indonesia</w:t>
      </w:r>
      <w:r w:rsidRPr="00CF7C36">
        <w:rPr>
          <w:rFonts w:ascii="Garamond" w:hAnsi="Garamond" w:cs="Times New Roman"/>
          <w:sz w:val="24"/>
          <w:szCs w:val="24"/>
        </w:rPr>
        <w:t xml:space="preserve">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{"citationItems":[{"id":"ITEM-1","itemData":{"author":[{"dropping-particle":"","family":"Sunarko","given":"AS","non-dropping-particle":"","parse-names":false,"suffix":""}],"container-title":"Jurnal Pendidikan Agama Kristen","id":"ITEM-1","issue":"1","issued":{"date-parts":[["2008"]]},"page":"5000","title":"Kamus Besar Bahasa Indonesia","type":"article-journal","volume":"1"},"suppress-author":1,"uris":["http://www.mendeley.com/documents/?uuid=e70c6bb8-8699-4768-b56f-30d1d4f70bda"]}],"mendeley":{"formattedCitation":"(2008)","plainTextFormattedCitation":"(2008)","previouslyFormattedCitation":"(2008)"},"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(2008)</w:t>
      </w:r>
      <w:r w:rsidRPr="00CF7C36">
        <w:rPr>
          <w:rFonts w:ascii="Garamond" w:hAnsi="Garamond" w:cs="Times New Roman"/>
          <w:sz w:val="24"/>
          <w:szCs w:val="24"/>
        </w:rPr>
        <w:fldChar w:fldCharType="end"/>
      </w:r>
      <w:r w:rsidRPr="00CF7C36">
        <w:rPr>
          <w:rFonts w:ascii="Garamond" w:hAnsi="Garamond" w:cs="Times New Roman"/>
          <w:sz w:val="24"/>
          <w:szCs w:val="24"/>
        </w:rPr>
        <w:t xml:space="preserve"> komunikasi adalah proses mengirim dan menerima pesan atau berita antara dua individu ataupun lebih sehingga pesan yang disampaikan dapat terinternalisasi. Sedangkan komunikasi menurut Harold Laswell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{"citationItems":[{"id":"ITEM-1","itemData":{"author":[{"dropping-particle":"","family":"Lasswell","given":"H D","non-dropping-particle":"","parse-names":false,"suffix":""}],"collection-title":"Communication theories - Critical concepts in media and cultural studies","id":"ITEM-1","issued":{"date-parts":[["2006"]]},"title":"The Structure and Function of Communication in Society","type":"book"},"suppress-author":1,"uris":["http://www.mendeley.com/documents/?uuid=68a65b05-17ef-41ac-8677-3bd595ba3fb2"]}],"mendeley":{"formattedCitation":"(2006)","plainTextFormattedCitation":"(2006)","previouslyFormattedCitation":"(2006)"},"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(2006)</w:t>
      </w:r>
      <w:r w:rsidRPr="00CF7C36">
        <w:rPr>
          <w:rFonts w:ascii="Garamond" w:hAnsi="Garamond" w:cs="Times New Roman"/>
          <w:sz w:val="24"/>
          <w:szCs w:val="24"/>
        </w:rPr>
        <w:fldChar w:fldCharType="end"/>
      </w:r>
      <w:r w:rsidRPr="00CF7C36">
        <w:rPr>
          <w:rFonts w:ascii="Garamond" w:hAnsi="Garamond" w:cs="Times New Roman"/>
          <w:b/>
          <w:sz w:val="24"/>
          <w:szCs w:val="24"/>
        </w:rPr>
        <w:t xml:space="preserve"> </w:t>
      </w:r>
      <w:r w:rsidRPr="00CF7C36">
        <w:rPr>
          <w:rFonts w:ascii="Garamond" w:hAnsi="Garamond" w:cs="Times New Roman"/>
          <w:sz w:val="24"/>
          <w:szCs w:val="24"/>
        </w:rPr>
        <w:t>adalah siapa</w:t>
      </w:r>
      <w:r w:rsidRPr="00CF7C36">
        <w:rPr>
          <w:rFonts w:ascii="Garamond" w:hAnsi="Garamond" w:cs="Times New Roman"/>
          <w:b/>
          <w:sz w:val="24"/>
          <w:szCs w:val="24"/>
        </w:rPr>
        <w:t xml:space="preserve"> </w:t>
      </w:r>
      <w:r w:rsidRPr="00CF7C36">
        <w:rPr>
          <w:rFonts w:ascii="Garamond" w:hAnsi="Garamond" w:cs="Times New Roman"/>
          <w:sz w:val="24"/>
          <w:szCs w:val="24"/>
        </w:rPr>
        <w:t>adalah suatu proses menjelaskan siapa mengatakan apa dengan saluran apa kepada siapa. Pengertian lain dari komunikasi adalah setiap tindakan komunikasi dip</w:t>
      </w:r>
      <w:r w:rsidRPr="00CF7C36">
        <w:rPr>
          <w:rFonts w:ascii="Garamond" w:hAnsi="Garamond" w:cs="Times New Roman"/>
          <w:i/>
          <w:sz w:val="24"/>
          <w:szCs w:val="24"/>
        </w:rPr>
        <w:t>and</w:t>
      </w:r>
      <w:r w:rsidRPr="00CF7C36">
        <w:rPr>
          <w:rFonts w:ascii="Garamond" w:hAnsi="Garamond" w:cs="Times New Roman"/>
          <w:sz w:val="24"/>
          <w:szCs w:val="24"/>
        </w:rPr>
        <w:t xml:space="preserve">ang sebagai suatu transmisi informasi terdiri dari rangsangan yang diskriminatif, dari sumber kepada penerima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{"citationItems":[{"id":"ITEM-1","itemData":{"DOI":"10.1037/h0063098","ISSN":"0033295X","abstract":"An attempt is made to analyze interactive social behavior in terms of communicative acts. The basic assumption is,... \"that communication among humans performs the essential function of enabling two or more individuals to maintain simultaneous orientation toward one another as communicators and toward objects of communication.\" A rationale for this assumption is presented and then a set of propositions derived from and consistent with it are shown to be supported by much existing empirical evidence. (PsycINFO Database Record (c) 2006 APA, all rights reserved). © 1953 American Psychological Association.","author":[{"dropping-particle":"","family":"Newcomb","given":"Theodore M.","non-dropping-particle":"","parse-names":false,"suffix":""}],"container-title":"Psychological Review","id":"ITEM-1","issue":"6","issued":{"date-parts":[["1953"]]},"title":"An approach to the study of communicative acts","type":"article-journal","volume":"60"},"uris":["http://www.mendeley.com/documents/?uuid=8abb8db6-17dd-3a69-be7d-ca9625e4d834"]}],"mendeley":{"formattedCitation":"(Newcomb, 1953)","plainTextFormattedCitation":"(Newcomb, 1953)","previouslyFormattedCitation":"(Newcomb, 1953)"},"properties":{"noteIndex":0},"schema":"https://github.com/citation-style-language/schema/raw/master/csl-citation.json"}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(Newcomb, 1953)</w:t>
      </w:r>
      <w:r w:rsidRPr="00CF7C36">
        <w:rPr>
          <w:rFonts w:ascii="Garamond" w:hAnsi="Garamond" w:cs="Times New Roman"/>
          <w:sz w:val="24"/>
          <w:szCs w:val="24"/>
        </w:rPr>
        <w:fldChar w:fldCharType="end"/>
      </w:r>
      <w:r w:rsidRPr="00CF7C36">
        <w:rPr>
          <w:rFonts w:ascii="Garamond" w:hAnsi="Garamond" w:cs="Times New Roman"/>
          <w:sz w:val="24"/>
          <w:szCs w:val="24"/>
        </w:rPr>
        <w:t xml:space="preserve">. </w:t>
      </w:r>
    </w:p>
    <w:p w14:paraId="2B3A3F2E"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eastAsia="Calibri" w:hAnsi="Garamond" w:cs="Times New Roman"/>
          <w:sz w:val="24"/>
          <w:szCs w:val="24"/>
        </w:rPr>
        <w:lastRenderedPageBreak/>
        <w:t xml:space="preserve">Sedangkan secara kumulatif, beberapa ahli mengemukakan bahwa komunikasi adalah proses timbal-balik dengan beberapa unsur yakni komunikator, komunikan, pesan, media dan efek </w:t>
      </w:r>
      <w:r w:rsidRPr="00CF7C36">
        <w:rPr>
          <w:rFonts w:ascii="Garamond" w:eastAsia="Calibri" w:hAnsi="Garamond" w:cs="Times New Roman"/>
          <w:sz w:val="24"/>
          <w:szCs w:val="24"/>
        </w:rPr>
        <w:fldChar w:fldCharType="begin" w:fldLock="1"/>
      </w:r>
      <w:r w:rsidRPr="00CF7C36">
        <w:rPr>
          <w:rFonts w:ascii="Garamond" w:eastAsia="Calibri" w:hAnsi="Garamond" w:cs="Times New Roman"/>
          <w:sz w:val="24"/>
          <w:szCs w:val="24"/>
        </w:rPr>
        <w:instrText>ADDIN CSL_CITATION {"citationItems":[{"id":"ITEM-1","itemData":{"abstract":"The purpose of this article is to elaborate on the essence of maintaining religious \nmoderation amid the covid pandemic 19. The social-religious approach was \nconducted by observing the facts that occur in society. The result indicates that \nmoderate priorities in religion during the covid pandemic 19 became a necessity. \nConsequently, maintaining personal safety and the wider community should \nbecome a priority due to the absence of alternative rather than forcing the will to \ncarry out worship in the mosque or in certain places. Islamic law provides \nrukhsah when the ummah is not in proper conditions to do such rituals like \npraying in the mosque. On the other hand, people are required to better \nunderstand fiqh in the pandemic of Covid 19 by not leaving conventional fiqh. \nAdapting the religious moderation during or after the covid pandemic 19 \nbecomes a necessity, especially relations between humans by avoiding and \nblocking the transmission of the virus in various ways. Acceptance of the new \nhabit caused by covid 19 from various aspects, especially the worship habits of \nthe people should be considered. The principle of avoiding harm is more \nimportant than carrying out benefits is one of the ways in Islam to maintain \nreligious moderation.\n","author":[{"dropping-particle":"","family":"Syatar","given":"Abdul","non-dropping-particle":"","parse-names":false,"suffix":""},{"dropping-particle":"","family":"Amiruddin","given":"Muhammad Majdy","non-dropping-particle":"","parse-names":false,"suffix":""},{"dropping-particle":"","family":"Haq","given":"Islamul","non-dropping-particle":"","parse-names":false,"suffix":""},{"dropping-particle":"","family":"Rahman","given":"Arif","non-dropping-particle":"","parse-names":false,"suffix":""}],"container-title":"KURIOSITAS: Media Komunikasi Sosial dan Keagamaan","id":"ITEM-1","issue":"1","issued":{"date-parts":[["2020"]]},"page":"1-13","title":"Darurat Moderasi Beragama di Tengah Pandemi Corona Virus Disease 2019 (Covid-19)","type":"article-journal","volume":"13"},"uris":["http://www.mendeley.com/documents/?uuid=6026d19a-339a-43ce-bd20-dc009e8ccfa3"]},{"id":"ITEM-2","itemData":{"DOI":"10.15294/sutasoma.v10i1.52868","ISSN":"2252-6463","abstract":"The existence of human fingers has an important role in moral concept based on Javanese culture. Beside as the body languages or gesture, the fingers also have an important position to expressing about moral value. There are some of Javanese literature—poem or oral tradition—that contain moral didactics “how to be a good human”. The aim of this paper is to describe about the fingers in Javanese metaphor concepts based cognitive semantics. The theoretical approach used is the opinion of Johnson and Lakoff, and several relevant previous studies. The research process includes data observation through literature review, data grouping, data reduction, and analysis. The results of this study indicate that the expressions of the fingers in Javanese society state the normative behavior or ethics that must be carried out. This can be seen in the expressions ‘pol-polan’ (thumb), ‘panuduh’ (pointing finger), ‘panunggul’ (middle finger),’ memanis’ (ring finger), and ‘thak-thik’ (little finger). Beside that, the fingers also have the meaning that everyone must balancing and make solidarity.\r Keywords: Javanese literature; the fingers; moral didactics; cognitive semantics.","author":[{"dropping-particle":"","family":"Rokhim","given":"Mukhammad Nur","non-dropping-particle":"","parse-names":false,"suffix":""},{"dropping-particle":"","family":"Septiasih","given":"Ayu","non-dropping-particle":"","parse-names":false,"suffix":""},{"dropping-particle":"","family":"Triana","given":"Desi Enjang","non-dropping-particle":"","parse-names":false,"suffix":""},{"dropping-particle":"","family":"Nivaga","given":"Pristya Sefti","non-dropping-particle":"","parse-names":false,"suffix":""},{"dropping-particle":"","family":"Janah","given":"Mifta Ul","non-dropping-particle":"","parse-names":false,"suffix":""}],"container-title":"Sutasoma : Jurnal Sastra Jawa","id":"ITEM-2","issue":"1","issued":{"date-parts":[["2022"]]},"page":"10-21","title":"Metafora Konseptual Lima Jari dalam Sastra Jawa: Analisis Semantik Kognitif","type":"article-journal","volume":"10"},"uris":["http://www.mendeley.com/documents/?uuid=212d12dc-68cb-459f-ab67-2f8f268d4aee"]},{"id":"ITEM-3","itemData":{"abstract":"Message is one of the most important factors in communication. Therefore, there are some requirements in the effective communication so the message can result in feedback from communicant, namely: 1) The message which would be delivered has to be developed systematically, 2) Message delivered by communicator should be able to attract communicant, and 3) Message must be easily understood by communicant.","author":[{"dropping-particle":"","family":"Nurhadi","given":"Zikri Fachrul","non-dropping-particle":"","parse-names":false,"suffix":""},{"dropping-particle":"","family":"Kurniawan","given":"Achmad Wildan","non-dropping-particle":"","parse-names":false,"suffix":""}],"container-title":"Jurnal Komunikasi Hasil Pemikiran dan Penelitian","id":"ITEM-3","issue":"1","issued":{"date-parts":[["2017"]]},"page":"90-95","title":"Jurnal Komunikasi Hasil Pemikiran dan Penelitian","type":"article-journal","volume":"3"},"uris":["http://www.mendeley.com/documents/?uuid=9aefd823-c0c9-4706-a849-3854a854f341"]},{"id":"ITEM-4","itemData":{"DOI":"10.24042/atjpi.v8i1.2095","ISSN":"2086-9118","abstract":"This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Islam","id":"ITEM-4","issue":"1","issued":{"date-parts":[["2017"]]},"page":"31","title":"Peran Teknologi Informasi Dan Komunikasi Dalam Pendidikan","type":"article-journal","volume":"8"},"uris":["http://www.mendeley.com/documents/?uuid=5aa7b8c2-bb85-46f3-8689-4335f8f62210"]}],"mendeley":{"formattedCitation":"(Budiman, 2017; Nurhadi &amp; Kurniawan, 2017; Rokhim et al., 2022; Syatar et al., 2020)","plainTextFormattedCitation":"(Budiman, 2017; Nurhadi &amp; Kurniawan, 2017; Rokhim et al., 2022; Syatar et al., 2020)","previouslyFormattedCitation":"(Budiman, 2017; Nurhadi &amp; Kurniawan, 2017; Rokhim et al., 2022; Syatar et al., 2020)"},"properties":{"noteIndex":0},"schema":"https://github.com/citation-style-language/schema/raw/master/csl-citation.json"}</w:instrText>
      </w:r>
      <w:r w:rsidRPr="00CF7C36">
        <w:rPr>
          <w:rFonts w:ascii="Garamond" w:eastAsia="Calibri" w:hAnsi="Garamond" w:cs="Times New Roman"/>
          <w:sz w:val="24"/>
          <w:szCs w:val="24"/>
        </w:rPr>
        <w:fldChar w:fldCharType="separate"/>
      </w:r>
      <w:r w:rsidRPr="00CF7C36">
        <w:rPr>
          <w:rFonts w:ascii="Garamond" w:eastAsia="Calibri" w:hAnsi="Garamond" w:cs="Times New Roman"/>
          <w:noProof/>
          <w:sz w:val="24"/>
          <w:szCs w:val="24"/>
        </w:rPr>
        <w:t>(Budiman, 2017; Nurhadi &amp; Kurniawan, 2017; Rokhim et al., 2022; Syatar et al., 2020)</w:t>
      </w:r>
      <w:r w:rsidRPr="00CF7C36">
        <w:rPr>
          <w:rFonts w:ascii="Garamond" w:eastAsia="Calibri" w:hAnsi="Garamond" w:cs="Times New Roman"/>
          <w:sz w:val="24"/>
          <w:szCs w:val="24"/>
        </w:rPr>
        <w:fldChar w:fldCharType="end"/>
      </w:r>
      <w:r w:rsidRPr="00CF7C36">
        <w:rPr>
          <w:rFonts w:ascii="Garamond" w:eastAsia="Calibri" w:hAnsi="Garamond" w:cs="Times New Roman"/>
          <w:sz w:val="24"/>
          <w:szCs w:val="24"/>
        </w:rPr>
        <w:t>.</w:t>
      </w:r>
    </w:p>
    <w:p w14:paraId="556C60A8"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Menurut Laswell dalam Kurniawan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{"citationItems":[{"id":"ITEM-1","itemData":{"DOI":"10.32585/jkp.v2i1.65","ISSN":"2549-1725","abstract":"Penelitian ini dilakukan atas dasarpermasalahan dalam komunikasi pendidikan. Objekpenelitian ini adalah Taman Pendidikan Al-Quran (TPA) Melda. Penelitian ini bertujuan untuk mengetahui pola komunikasi yang diterapkan oleh institusi pendidikan Alquran yaitu :TPA. Apakah komunikasi yang dijalankan masih apa adanya atau sudah direncanakan dan dirancang secara sistematis. Metode yang digunakan dalam penelitian ini adalah kualitatif. Teori yang digunakan adalah model komunikasi Laswell dan S-O-R (Stimulus, Organism, Response).Hasil penelitian ini menunjukkan bahwa komunikasi memiliki peran penting bagi kemajuan pendidikan. Buktinya bisa dilihat pada model komunikasi yang diterapkan di TPA Melda.Komunikasi pembelajaran yang diterapkan oleh TPA Melda telah dirancang secara sistematis sehingga anak-anak mengalami pembelajaran yang menyenangkan. Hasil lainnyaadalah aspek kognitif dan aspek afektif dalam pembelajaran di TPA ini tercapai.","author":[{"dropping-particle":"","family":"Kurniawan","given":"Dani","non-dropping-particle":"","parse-names":false,"suffix":""}],"container-title":"Jurnal Komunikasi Pendidikan","id":"ITEM-1","issue":"1","issued":{"date-parts":[["2018"]]},"page":"60","title":"Komunikasi Model Laswell Dan Stimulus-Organism-Response Dalam Mewujudkan Pembelajaran Menyenangkan","type":"article-journal","volume":"2"},"suppress-author":1,"uris":["http://www.mendeley.com/documents/?uuid=4f510e3f-ef7d-40ce-baa6-aef12f283738"]}],"mendeley":{"formattedCitation":"(2018)","plainTextFormattedCitation":"(2018)","previouslyFormattedCitation":"(2018)"},"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(2018)</w:t>
      </w:r>
      <w:r w:rsidRPr="00CF7C36">
        <w:rPr>
          <w:rFonts w:ascii="Garamond" w:hAnsi="Garamond" w:cs="Times New Roman"/>
          <w:sz w:val="24"/>
          <w:szCs w:val="24"/>
        </w:rPr>
        <w:fldChar w:fldCharType="end"/>
      </w:r>
      <w:r w:rsidRPr="00CF7C36">
        <w:rPr>
          <w:rFonts w:ascii="Garamond" w:hAnsi="Garamond" w:cs="Times New Roman"/>
          <w:sz w:val="24"/>
          <w:szCs w:val="24"/>
        </w:rPr>
        <w:t xml:space="preserve">, unsur komunikasi terbagi menjadi lima yaitu: 1) Komunikator sebagai penyampai pesan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{"citationItems":[{"id":"ITEM-1","itemData":{"DOI":"10.4324/9781003185857-2","author":[{"dropping-particle":"","family":"Puspita","given":"Syifa","non-dropping-particle":"","parse-names":false,"suffix":""}],"container-title":"Political Economy in the Evolution of China's Urban–Rural Economic Relations","id":"ITEM-1","issued":{"date-parts":[["0"]]},"page":"22-41","title":"Komunikator Publik di Negara Demokrasi","type":"article-journal"},"uris":["http://www.mendeley.com/documents/?uuid=3f62a2a9-b917-4a42-b686-7f84e46e8fc7"]}],"mendeley":{"formattedCitation":"(Puspita, n.d.)","plainTextFormattedCitation":"(Puspita, n.d.)","previouslyFormattedCitation":"(Puspita, n.d.)"},"properties":{"noteIndex":0},"schema":"https://github.com/citation-style-language/schema/raw/master/csl-citation.json"}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(Puspita, n.d.)</w:t>
      </w:r>
      <w:r w:rsidRPr="00CF7C36">
        <w:rPr>
          <w:rFonts w:ascii="Garamond" w:hAnsi="Garamond" w:cs="Times New Roman"/>
          <w:sz w:val="24"/>
          <w:szCs w:val="24"/>
        </w:rPr>
        <w:fldChar w:fldCharType="end"/>
      </w:r>
      <w:r w:rsidRPr="00CF7C36">
        <w:rPr>
          <w:rFonts w:ascii="Garamond" w:hAnsi="Garamond" w:cs="Times New Roman"/>
          <w:sz w:val="24"/>
          <w:szCs w:val="24"/>
        </w:rPr>
        <w:t>, 2) Komunikan sebagai penerima pesan 3) Pesan sebagai produk yang tidak terdeteksi indra dan mampu mengubah persepsi</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{"citationItems":[{"id":"ITEM-1","itemData":{"DOI":"10.33376/ik.v4i1.286","ISSN":"2548-3749","abstract":"Artikel ini mengulas relevansi konsep jurnalisme digital dengan praktik jurnalisme. Sebagai sebuah konsep, jurnalisme memiliki cakupan aktivitas yang luas, mulai dari aktivitas mencari, mengolah dan menyebarkan informasi kepada publik. Sementara konsep jurnalisme digital relatif baru. Berangkat dari konseptualisasi praktik jurnalisme, artikel ini berupaya melihat dinamika yang ada dalam perkembangan konseptualisasi jurnalisme digital. Berdasarkan penelusuran literatur, konseptualisasi jurnalisme digital sebagian besarnya menitikberatkan kepada tahapan diseminasi informasi dengan seperangkat teknologi media digital. Makalah ini melihat konsep jurnalisme digital perlu dielaborasi kembali supaya bisa lebih mencakup keseluruhan praktik produksi berita dari hulu sampai hilir sebagaimana yang terdapat dalam konsep jurnalisme.","author":[{"dropping-particle":"","family":"Ashari","given":"Muhammad","non-dropping-particle":"","parse-names":false,"suffix":""}],"container-title":"Inter Komunika : Jurnal Komunikasi","id":"ITEM-1","issue":"1","issued":{"date-parts":[["2019"]]},"page":"1","title":"Jurnalisme Digital: Dari Pengumpulan Informasi Sampai Penyebaran Pesan","type":"article-journal","volume":"4"},"uris":["http://www.mendeley.com/documents/?uuid=1bfb8c0d-350f-4762-b5e3-9540e46dbfb4"]},{"id":"ITEM-2","itemData":{"abstract":"Message is one of the most important factors in communication. Therefore, there are some requirements in the effective communication so the message can result in feedback from communicant, namely: 1) The message which would be delivered has to be developed systematically, 2) Message delivered by communicator should be able to attract communicant, and 3) Message must be easily understood by communicant.","author":[{"dropping-particle":"","family":"Nurhadi","given":"Zikri Fachrul","non-dropping-particle":"","parse-names":false,"suffix":""},{"dropping-particle":"","family":"Kurniawan","given":"Achmad Wildan","non-dropping-particle":"","parse-names":false,"suffix":""}],"container-title":"Jurnal Komunikasi Hasil Pemikiran dan Penelitian","id":"ITEM-2","issue":"1","issued":{"date-parts":[["2017"]]},"page":"90-95","title":"Jurnal Komunikasi Hasil Pemikiran dan Penelitian","type":"article-journal","volume":"3"},"uris":["http://www.mendeley.com/documents/?uuid=9aefd823-c0c9-4706-a849-3854a854f341"]},{"id":"ITEM-3","itemData":{"abstract":"… Yang bisa di ekspresikan dengan komunikasi nonverbal. Komunikasi nonverbal adalah komunikasi yang tidak menggunakan kata-kata yang di ucapkan atau dituliskan melainkan …","author":[{"dropping-particle":"","family":"Sari","given":"Afna Fitria","non-dropping-particle":"","parse-names":false,"suffix":""}],"container-title":"Jurnal Informatika dan Teknologi Pendidikan","id":"ITEM-3","issue":"1","issued":{"date-parts":[["2021"]]},"page":"13-22","title":"Kendala dan Efek Komunikasi dalam Perkuliahan Online Di Masa Pandemi Covid-19","type":"article-journal","volume":"2"},"uris":["http://www.mendeley.com/documents/?uuid=2d6d4ae8-5642-4353-898e-409da0e2b3af"]}],"mendeley":{"formattedCitation":"(Ashari, 2019; Nurhadi &amp; Kurniawan, 2017; Sari, 2021)","plainTextFormattedCitation":"(Ashari, 2019; Nurhadi &amp; Kurniawan, 2017; Sari, 2021)","previouslyFormattedCitation":"(Ashari, 2019; Nurhadi &amp; Kurniawan, 2017; Sari, 2021)"},"properties":{"noteIndex":0},"schema":"https://github.com/citation-style-language/schema/raw/master/csl-citation.json"}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(Ashari, 2019; Nurhadi &amp; Kurniawan, 2017; Sari, 2021)</w:t>
      </w:r>
      <w:r w:rsidRPr="00CF7C36">
        <w:rPr>
          <w:rFonts w:ascii="Garamond" w:hAnsi="Garamond" w:cs="Times New Roman"/>
          <w:sz w:val="24"/>
          <w:szCs w:val="24"/>
        </w:rPr>
        <w:fldChar w:fldCharType="end"/>
      </w:r>
      <w:r w:rsidRPr="00CF7C36">
        <w:rPr>
          <w:rFonts w:ascii="Garamond" w:hAnsi="Garamond" w:cs="Times New Roman"/>
          <w:sz w:val="24"/>
          <w:szCs w:val="24"/>
        </w:rPr>
        <w:t xml:space="preserve"> (Ashari, Rohayah, Nurhadi, Afna sari), 4) Media sebagai wadah penampung pesan  dan 5) Efek sebagai respon terakhir.</w:t>
      </w:r>
    </w:p>
    <w:p w14:paraId="7BC95ED3"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Menurut Bittner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{"citationItems":[{"id":"ITEM-1","itemData":{"ISBN":"9780135590713","author":[{"dropping-particle":"","family":"Bittner","given":"J R","non-dropping-particle":"","parse-names":false,"suffix":""}],"id":"ITEM-1","issued":{"date-parts":[["1989"]]},"publisher":"Prentice Hall","title":"Mass Communication, an Introduction","type":"book"},"suppress-author":1,"uris":["http://www.mendeley.com/documents/?uuid=ca5f10d4-499d-4633-8b4e-7df1c1844201"]}],"mendeley":{"formattedCitation":"(1989)","plainTextFormattedCitation":"(1989)","previouslyFormattedCitation":"(1989)"},"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(1989)</w:t>
      </w:r>
      <w:r w:rsidRPr="00CF7C36">
        <w:rPr>
          <w:rFonts w:ascii="Garamond" w:hAnsi="Garamond" w:cs="Times New Roman"/>
          <w:sz w:val="24"/>
          <w:szCs w:val="24"/>
        </w:rPr>
        <w:fldChar w:fldCharType="end"/>
      </w:r>
      <w:r w:rsidRPr="00CF7C36">
        <w:rPr>
          <w:rFonts w:ascii="Garamond" w:hAnsi="Garamond" w:cs="Times New Roman"/>
          <w:sz w:val="24"/>
          <w:szCs w:val="24"/>
        </w:rPr>
        <w:t xml:space="preserve"> komunikasi merupakan pesan yang disosialisasikan melalui suatu media kepada khalayak atau masyarakat.  Definisi di ini menetapkan bahwa karakteristik dari komunikasi massa adalah penggunaan media massa. Apabila sebuah pesan di sosialisasikan kepada khalayak namun tidak menggunakan media massa, maka itu bukan bagian dari komunikasi massa.</w:t>
      </w:r>
    </w:p>
    <w:p w14:paraId="611D5803" w14:textId="77777777" w:rsidR="00CF7C36" w:rsidRDefault="00CF7C36" w:rsidP="00CF7C36">
      <w:pPr>
        <w:spacing w:after="0" w:line="240" w:lineRule="auto"/>
        <w:ind w:firstLine="567"/>
        <w:jc w:val="both"/>
        <w:rPr>
          <w:rFonts w:ascii="Garamond" w:hAnsi="Garamond" w:cs="Times New Roman"/>
          <w:sz w:val="24"/>
          <w:szCs w:val="24"/>
        </w:rPr>
      </w:pPr>
      <w:r w:rsidRPr="00CF7C36">
        <w:rPr>
          <w:rFonts w:ascii="Garamond" w:hAnsi="Garamond" w:cs="Times New Roman"/>
          <w:sz w:val="24"/>
          <w:szCs w:val="24"/>
        </w:rPr>
        <w:t xml:space="preserve">Sedangkan dalam Gerbner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{"citationItems":[{"id":"ITEM-1","itemData":{"DOI":"10.1007/BF02766931","ISSN":"00012890","author":[{"dropping-particle":"","family":"Gerbner","given":"George","non-dropping-particle":"","parse-names":false,"suffix":""}],"container-title":"Audiovisual communication review","id":"ITEM-1","issue":"3","issued":{"date-parts":[["1958"]]},"title":"On content analysis and critical research in mass communication","type":"article-journal","volume":"6"},"suppress-author":1,"uris":["http://www.mendeley.com/documents/?uuid=26c9f6e5-d80f-3106-b4fe-c9c984eab4f1"]}],"mendeley":{"formattedCitation":"(1958)","plainTextFormattedCitation":"(1958)","previouslyFormattedCitation":"(1958)"},"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(1958)</w:t>
      </w:r>
      <w:r w:rsidRPr="00CF7C36">
        <w:rPr>
          <w:rFonts w:ascii="Garamond" w:hAnsi="Garamond" w:cs="Times New Roman"/>
          <w:sz w:val="24"/>
          <w:szCs w:val="24"/>
        </w:rPr>
        <w:fldChar w:fldCharType="end"/>
      </w:r>
      <w:r w:rsidRPr="00CF7C36">
        <w:rPr>
          <w:rFonts w:ascii="Garamond" w:hAnsi="Garamond" w:cs="Times New Roman"/>
          <w:sz w:val="24"/>
          <w:szCs w:val="24"/>
        </w:rPr>
        <w:t>, komunikasi massa perupakan produksi dan distribusi melalui lembaga arus pesan dengan kontinuuitas.. Dari definisi di atas tergambar bahwa produk dari komunikasi massa adalah pesan-pesan komunikasi. Produk ini kemudian disebarluaskan ke masyarakat secara kontiniu dalam waku yang sudah ditetapkan.</w:t>
      </w:r>
    </w:p>
    <w:p w14:paraId="4467E9CD"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Komunikasi massa memiliki beberapa karakteristik yang dapat diidentifikasi, yaitu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{"citationItems":[{"id":"ITEM-1","itemData":{"abstract":"Buku ini mengajak pembaca untuk memahami ilmu komunikasi sebagaihal yang sangat fundamental dalam hubungan antarmanusia. Kita seakan berkeliling Indonesia dan dunia untuk memahami perilaku manusia yuang penuh symbol dan makna dan untuk menyadari pentingnya komunikasi agar kita sukses dalam hidup bermasyarakat. Dan buku ini menguraikan filosofi, hakikat dan fungsi komunikasi disertai contoh-contoh actual dalam budaya Indonesia.","author":[{"dropping-particle":"","family":"Mulyana","given":"Deddy","non-dropping-particle":"","parse-names":false,"suffix":""}],"container-title":"Bandung: PT Remaja Rosdakarya","id":"ITEM-1","issued":{"date-parts":[["2007"]]},"title":"Ilmu Komunikasi: Suatu Pengantar. Cetakan ke 18","type":"book"},"uris":["http://www.mendeley.com/documents/?uuid=b7b85ddb-2cff-383c-bb9d-0ed4eb21f7a8"]}],"mendeley":{"formattedCitation":"(Mulyana, 2007)","plainTextFormattedCitation":"(Mulyana, 2007)","previouslyFormattedCitation":"(Mulyana, 2007)"},"properties":{"noteIndex":0},"schema":"https://github.com/citation-style-language/schema/raw/master/csl-citation.json"}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(Mulyana, 2007)</w:t>
      </w:r>
      <w:r w:rsidRPr="00CF7C36">
        <w:rPr>
          <w:rFonts w:ascii="Garamond" w:hAnsi="Garamond" w:cs="Times New Roman"/>
          <w:sz w:val="24"/>
          <w:szCs w:val="24"/>
        </w:rPr>
        <w:fldChar w:fldCharType="end"/>
      </w:r>
      <w:r w:rsidRPr="00CF7C36">
        <w:rPr>
          <w:rFonts w:ascii="Garamond" w:hAnsi="Garamond" w:cs="Times New Roman"/>
          <w:sz w:val="24"/>
          <w:szCs w:val="24"/>
        </w:rPr>
        <w:t>: 1) pesan yang disosialisasikan bersifat umum, 2) komunikannya bersifat heterogen dan anonim, 3) media massa memunculkan keselarasan, 4) titik berat komunikasi adalah isi, bukan hubungan, 5) komunikasi massa bersifat satu arah, 6) stimulasi alat indra yang terbatas, 7) umpan balik secara tidak langsung atau tertunda. Selain itu, karakteristik komunikasi massa sebagai media harus memiliki pokok vital yakni informatif.</w:t>
      </w:r>
    </w:p>
    <w:p w14:paraId="18F79916"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Teori komunikasi informatif pertama kali diperkenalkan oleh Shannon dan Weaver pada tahun </w:t>
      </w:r>
      <w:r w:rsidRPr="00CF7C36">
        <w:rPr>
          <w:rFonts w:ascii="Garamond" w:hAnsi="Garamond" w:cs="Times New Roman"/>
          <w:sz w:val="24"/>
          <w:szCs w:val="24"/>
        </w:rPr>
        <w:fldChar w:fldCharType="begin" w:fldLock="1"/>
      </w:r>
      <w:r w:rsidRPr="00CF7C36">
        <w:rPr>
          <w:rFonts w:ascii="Garamond" w:hAnsi="Garamond" w:cs="Times New Roman"/>
          <w:sz w:val="24"/>
          <w:szCs w:val="24"/>
        </w:rPr>
        <w:instrText>ADDIN CSL_CITATION {"citationItems":[{"id":"ITEM-1","itemData":{"ISBN":"9780252725487","author":[{"dropping-particle":"","family":"Shannon","given":"C E","non-dropping-particle":"","parse-names":false,"suffix":""},{"dropping-particle":"","family":"E","given":"S C","non-dropping-particle":"","parse-names":false,"suffix":""},{"dropping-particle":"","family":"Weaver","given":"W","non-dropping-particle":"","parse-names":false,"suffix":""},{"dropping-particle":"","family":"of Illinois (Urbana-Champaign). Press","given":"University","non-dropping-particle":"","parse-names":false,"suffix":""},{"dropping-particle":"","family":"Blahut","given":"R E","non-dropping-particle":"","parse-names":false,"suffix":""},{"dropping-particle":"","family":"Hajek","given":"B","non-dropping-particle":"","parse-names":false,"suffix":""}],"collection-title":"Illini books","id":"ITEM-1","issue":"v. 1","issued":{"date-parts":[["1949"]]},"publisher":"University of Illinois Press","title":"The Mathematical Theory of Communication","type":"book"},"suppress-author":1,"uris":["http://www.mendeley.com/documents/?uuid=af076dc8-b4b1-4405-945d-2ac29f6a04e9"]}],"mendeley":{"formattedCitation":"(1949)","plainTextFormattedCitation":"(1949)","previouslyFormattedCitation":"(1949)"},"properties":{"noteIndex":0},"schema":"https://github.com/citation-style-language/schema/raw/master/csl-citation.json"}</w:instrText>
      </w:r>
      <w:r w:rsidRPr="00CF7C36">
        <w:rPr>
          <w:rFonts w:ascii="Garamond" w:hAnsi="Garamond" w:cs="Times New Roman"/>
          <w:sz w:val="24"/>
          <w:szCs w:val="24"/>
        </w:rPr>
        <w:fldChar w:fldCharType="separate"/>
      </w:r>
      <w:r w:rsidRPr="00CF7C36">
        <w:rPr>
          <w:rFonts w:ascii="Garamond" w:hAnsi="Garamond" w:cs="Times New Roman"/>
          <w:noProof/>
          <w:sz w:val="24"/>
          <w:szCs w:val="24"/>
        </w:rPr>
        <w:t>(1949)</w:t>
      </w:r>
      <w:r w:rsidRPr="00CF7C36">
        <w:rPr>
          <w:rFonts w:ascii="Garamond" w:hAnsi="Garamond" w:cs="Times New Roman"/>
          <w:sz w:val="24"/>
          <w:szCs w:val="24"/>
        </w:rPr>
        <w:fldChar w:fldCharType="end"/>
      </w:r>
      <w:r w:rsidRPr="00CF7C36">
        <w:rPr>
          <w:rFonts w:ascii="Garamond" w:hAnsi="Garamond" w:cs="Times New Roman"/>
          <w:sz w:val="24"/>
          <w:szCs w:val="24"/>
        </w:rPr>
        <w:t xml:space="preserve"> dalam bukunya </w:t>
      </w:r>
      <w:r w:rsidRPr="00CF7C36">
        <w:rPr>
          <w:rFonts w:ascii="Garamond" w:hAnsi="Garamond" w:cs="Times New Roman"/>
          <w:i/>
          <w:sz w:val="24"/>
          <w:szCs w:val="24"/>
        </w:rPr>
        <w:t>The Mathematical of Communication.</w:t>
      </w:r>
      <w:r w:rsidRPr="00CF7C36">
        <w:rPr>
          <w:rFonts w:ascii="Garamond" w:hAnsi="Garamond" w:cs="Times New Roman"/>
          <w:sz w:val="24"/>
          <w:szCs w:val="24"/>
        </w:rPr>
        <w:t xml:space="preserve"> Komunikasi informatif disebut juga sebagai model matematis atau model teori informatif. Model ini menggambarkan komunikasi sebagai informasi yang dikirim sebagai pesan kepada penerima untuk mencapai beberapa tujuan komunikasi yang mendalam. Prosedur ini dapat mengakibatkan kebisingan dan gangguan.</w:t>
      </w:r>
    </w:p>
    <w:p w14:paraId="52837601"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lastRenderedPageBreak/>
        <w:t>Shannon dan Weaver menitik fokuskan pembahasan pada penyampaian pesan sangat dipengaruhi oleh tingkat kecermatan. Shannon dan Weaver mengasumsikan bahwa sumber informasi yang ada akan satu pesan yang dikomunikasikan dari beberapa informasi yang ada. Adapun elemen-elemen yang terk</w:t>
      </w:r>
      <w:r w:rsidRPr="00CF7C36">
        <w:rPr>
          <w:rFonts w:ascii="Garamond" w:hAnsi="Garamond" w:cs="Times New Roman"/>
          <w:i/>
          <w:sz w:val="24"/>
          <w:szCs w:val="24"/>
        </w:rPr>
        <w:t>and</w:t>
      </w:r>
      <w:r w:rsidRPr="00CF7C36">
        <w:rPr>
          <w:rFonts w:ascii="Garamond" w:hAnsi="Garamond" w:cs="Times New Roman"/>
          <w:sz w:val="24"/>
          <w:szCs w:val="24"/>
        </w:rPr>
        <w:t>ung dalam komunikasi  informatif adalah sumber, pemancar, t</w:t>
      </w:r>
      <w:r w:rsidRPr="00CF7C36">
        <w:rPr>
          <w:rFonts w:ascii="Garamond" w:hAnsi="Garamond" w:cs="Times New Roman"/>
          <w:i/>
          <w:sz w:val="24"/>
          <w:szCs w:val="24"/>
        </w:rPr>
        <w:t>and</w:t>
      </w:r>
      <w:r w:rsidRPr="00CF7C36">
        <w:rPr>
          <w:rFonts w:ascii="Garamond" w:hAnsi="Garamond" w:cs="Times New Roman"/>
          <w:sz w:val="24"/>
          <w:szCs w:val="24"/>
        </w:rPr>
        <w:t>a, penerima, sasaran dan gangguan.</w:t>
      </w:r>
    </w:p>
    <w:p w14:paraId="5FDD9C0F"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lang w:val="en-US"/>
        </w:rPr>
        <w:t xml:space="preserve">Secara </w:t>
      </w:r>
      <w:proofErr w:type="spellStart"/>
      <w:r w:rsidRPr="00CF7C36">
        <w:rPr>
          <w:rFonts w:ascii="Garamond" w:hAnsi="Garamond" w:cs="Times New Roman"/>
          <w:sz w:val="24"/>
          <w:szCs w:val="24"/>
          <w:lang w:val="en-US"/>
        </w:rPr>
        <w:t>kumulatif</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beberapa</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peneliti</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mengungkapkan</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bahwa</w:t>
      </w:r>
      <w:proofErr w:type="spellEnd"/>
      <w:r w:rsidRPr="00CF7C36">
        <w:rPr>
          <w:rFonts w:ascii="Garamond" w:hAnsi="Garamond" w:cs="Times New Roman"/>
          <w:sz w:val="24"/>
          <w:szCs w:val="24"/>
          <w:lang w:val="en-US"/>
        </w:rPr>
        <w:t xml:space="preserve"> dakwah </w:t>
      </w:r>
      <w:proofErr w:type="spellStart"/>
      <w:r w:rsidRPr="00CF7C36">
        <w:rPr>
          <w:rFonts w:ascii="Garamond" w:hAnsi="Garamond" w:cs="Times New Roman"/>
          <w:sz w:val="24"/>
          <w:szCs w:val="24"/>
          <w:lang w:val="en-US"/>
        </w:rPr>
        <w:t>adalah</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bentuk</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penyiaran</w:t>
      </w:r>
      <w:proofErr w:type="spellEnd"/>
      <w:r w:rsidRPr="00CF7C36">
        <w:rPr>
          <w:rFonts w:ascii="Garamond" w:hAnsi="Garamond" w:cs="Times New Roman"/>
          <w:sz w:val="24"/>
          <w:szCs w:val="24"/>
          <w:lang w:val="en-US"/>
        </w:rPr>
        <w:t xml:space="preserve"> agama </w:t>
      </w:r>
      <w:proofErr w:type="spellStart"/>
      <w:r w:rsidRPr="00CF7C36">
        <w:rPr>
          <w:rFonts w:ascii="Garamond" w:hAnsi="Garamond" w:cs="Times New Roman"/>
          <w:sz w:val="24"/>
          <w:szCs w:val="24"/>
          <w:lang w:val="en-US"/>
        </w:rPr>
        <w:t>islam</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penyampaian</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pesan</w:t>
      </w:r>
      <w:proofErr w:type="spellEnd"/>
      <w:r w:rsidRPr="00CF7C36">
        <w:rPr>
          <w:rFonts w:ascii="Garamond" w:hAnsi="Garamond" w:cs="Times New Roman"/>
          <w:sz w:val="24"/>
          <w:szCs w:val="24"/>
          <w:lang w:val="en-US"/>
        </w:rPr>
        <w:t xml:space="preserve"> agama, </w:t>
      </w:r>
      <w:proofErr w:type="spellStart"/>
      <w:r w:rsidRPr="00CF7C36">
        <w:rPr>
          <w:rFonts w:ascii="Garamond" w:hAnsi="Garamond" w:cs="Times New Roman"/>
          <w:sz w:val="24"/>
          <w:szCs w:val="24"/>
          <w:lang w:val="en-US"/>
        </w:rPr>
        <w:t>tanggung</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jawab</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serta</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pesan</w:t>
      </w:r>
      <w:proofErr w:type="spellEnd"/>
      <w:r w:rsidRPr="00CF7C36">
        <w:rPr>
          <w:rFonts w:ascii="Garamond" w:hAnsi="Garamond" w:cs="Times New Roman"/>
          <w:sz w:val="24"/>
          <w:szCs w:val="24"/>
          <w:lang w:val="en-US"/>
        </w:rPr>
        <w:t xml:space="preserve"> yang </w:t>
      </w:r>
      <w:proofErr w:type="spellStart"/>
      <w:r w:rsidRPr="00CF7C36">
        <w:rPr>
          <w:rFonts w:ascii="Garamond" w:hAnsi="Garamond" w:cs="Times New Roman"/>
          <w:sz w:val="24"/>
          <w:szCs w:val="24"/>
          <w:lang w:val="en-US"/>
        </w:rPr>
        <w:t>membawa</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perubahan</w:t>
      </w:r>
      <w:proofErr w:type="spellEnd"/>
      <w:r w:rsidRPr="00CF7C36">
        <w:rPr>
          <w:rFonts w:ascii="Garamond" w:hAnsi="Garamond" w:cs="Times New Roman"/>
          <w:sz w:val="24"/>
          <w:szCs w:val="24"/>
          <w:lang w:val="en-US"/>
        </w:rPr>
        <w:t xml:space="preserve"> di </w:t>
      </w:r>
      <w:proofErr w:type="spellStart"/>
      <w:r w:rsidRPr="00CF7C36">
        <w:rPr>
          <w:rFonts w:ascii="Garamond" w:hAnsi="Garamond" w:cs="Times New Roman"/>
          <w:sz w:val="24"/>
          <w:szCs w:val="24"/>
          <w:lang w:val="en-US"/>
        </w:rPr>
        <w:t>tengah</w:t>
      </w:r>
      <w:proofErr w:type="spellEnd"/>
      <w:r w:rsidRPr="00CF7C36">
        <w:rPr>
          <w:rFonts w:ascii="Garamond" w:hAnsi="Garamond" w:cs="Times New Roman"/>
          <w:sz w:val="24"/>
          <w:szCs w:val="24"/>
          <w:lang w:val="en-US"/>
        </w:rPr>
        <w:t xml:space="preserve"> </w:t>
      </w:r>
      <w:proofErr w:type="spellStart"/>
      <w:r w:rsidRPr="00CF7C36">
        <w:rPr>
          <w:rFonts w:ascii="Garamond" w:hAnsi="Garamond" w:cs="Times New Roman"/>
          <w:sz w:val="24"/>
          <w:szCs w:val="24"/>
          <w:lang w:val="en-US"/>
        </w:rPr>
        <w:t>masyarakat</w:t>
      </w:r>
      <w:proofErr w:type="spellEnd"/>
      <w:r w:rsidRPr="00CF7C36">
        <w:rPr>
          <w:rFonts w:ascii="Garamond" w:hAnsi="Garamond" w:cs="Times New Roman"/>
          <w:sz w:val="24"/>
          <w:szCs w:val="24"/>
          <w:lang w:val="en-US"/>
        </w:rPr>
        <w:t xml:space="preserve"> </w:t>
      </w:r>
      <w:r w:rsidRPr="00CF7C36">
        <w:rPr>
          <w:rFonts w:ascii="Garamond" w:hAnsi="Garamond" w:cs="Times New Roman"/>
          <w:sz w:val="24"/>
          <w:szCs w:val="24"/>
          <w:lang w:val="en-US"/>
        </w:rPr>
        <w:fldChar w:fldCharType="begin" w:fldLock="1"/>
      </w:r>
      <w:r w:rsidRPr="00CF7C36">
        <w:rPr>
          <w:rFonts w:ascii="Garamond" w:hAnsi="Garamond" w:cs="Times New Roman"/>
          <w:sz w:val="24"/>
          <w:szCs w:val="24"/>
          <w:lang w:val="en-US"/>
        </w:rPr>
        <w:instrText>ADDIN CSL_CITATION {"citationItems":[{"id":"ITEM-1","itemData":{"abstract":"This paper aims to determine the activities of da'wah in changing the economic, social, cultural, educational and political conditions of rural residents through community empowerment in the frame of da'wah . Namely da'wah that can improve the quality of faith as well as the quality of life target da'wah . The results of this literature review indicate that there are several forms to empower communities through political, economic, socio-cultural and environmental empowerment. The techniques for improving the situation can be done through non-participation techniques, tokenism techniques, and community participation/power techniques. The participation in government, preachers, community, and da'wah organizations in bridging the mission of community empowerment is an urgent thing to be synergized so that the goal of da'wah can succeed maximally","author":[{"dropping-particle":"","family":"Zaini","given":"Ahmad","non-dropping-particle":"","parse-names":false,"suffix":""}],"container-title":"Jurnal Ilmu Dakwah","id":"ITEM-1","issue":"2","issued":{"date-parts":[["2017"]]},"page":"284-301","title":"Dakwah dan Pemberdayaan Masyarakat Perdesaan","type":"article-journal","volume":"37"},"uris":["http://www.mendeley.com/documents/?uuid=f57afdc8-7b67-4c76-882c-1a12467d2c5f"]},{"id":"ITEM-2","itemData":{"abstract":"Penggunaan media online sebagai sarana dakwah dewasa ini mulai menjadi alternative dalam berdakwah. Dalam menyampaikan materi-materi dakwah, seorang pendakwah bisa saja memiliki akun di media social seperti; facebook, twitter, LINE, WhatsApp, Path atau media online lainnya seperti; Youtube, Instagram, Weblog, LinkedIn dan sebagainya. Apakah efektif metode dakwah yang mereka pilih? Dalam penelitian ini dilakukan survei terhadap 200 responden dari beberapa kelompok masyarakat, untuk mengukur tingkat efektifitas dakwah Islam melalui media online. Metode yang dipakai adalah dengan menggunakan analisis statistic, kemudia dilakukan uji korelasi dan konsistensi berdasarkan hasil kuisioner dari responden. Berdasarkan hasil penelitian dapat diketahui bahwa sejak usia pelajar sampai dengan usia kerja telah memanfaatkan smartphone untuk mendapatkan informasi terkini melalui media online. Dari hasil uji korelasi menunjukkan bahwa nilai koefisien korelasi lama penggunaan smartphone dengan aktifitas mencari informasi tentang dakwah Islam adalah 0.8035, bahkan 46% sangat sering mencari literatur tentang pengetahuan agama melalui media online. Hal ini menunjukkan bahwa materi-materi dakwah Islam yang disampaikan melalui media online sangat efektif, khususnya bagi pengguna telepon pintar atau smartphone.","author":[{"dropping-particle":"","family":"Usman","given":"Fadly","non-dropping-particle":"","parse-names":false,"suffix":""}],"container-title":"Jurnal Ekonomi dan Dakwah Islam (Al-Tsiqoh)","id":"ITEM-2","issue":"1","issued":{"date-parts":[["2016"]]},"page":"1-8","title":"Efektivitas Penggunaan Media Online Sebagai Sarana Dakwah","type":"article-journal","volume":"1"},"uris":["http://www.mendeley.com/documents/?uuid=ad1068d8-0c35-4435-a771-bfe685d96db8"]},{"id":"ITEM-3","itemData":{"abstract":"The background of this research is to find the right da'wah media for the Jakarta millennial generation so that they can still receive da'wah. With the right media, it is very necessary because the millennial generation of Jakarta emphasizes prestige and appearance. If it doesn't hit Jakarta's millennial generation then they won't accept anything. Media used. Therefore, the media must be appropriate for preaching. Think properly so that you can enter the millennial generation of Jakarta. The method used in this study is by using literature review, meaning that by reading previous research, you can get new research problems and can update previous research, with previous research it will deepen the knowledge of the research raised. From several journals that have been read, E-Dakwah media is the right media to enter the Jakarta millennial generation. With E-Da'wah media, the Jakarta millennial generation can learn religious knowledge every day anywhere and anytime. In the Jakarta millennial generation, gadgets are important because almost 24 hours of gadgets are attached to the Jakarta millennial generation. The combination of E-Da'wah and gadgets. One of the appropriate media for studying Islam among Jakarta's millennial generation. In this study, the authors raised research on the concept of the E-Da'wah application for the Jakarta millennial generation. It is hoped that this da'wah application will increase faith and piety in Jakarta's millennial generation","author":[{"dropping-particle":"","family":"Dewi","given":"Nur Kumala","non-dropping-particle":"","parse-names":false,"suffix":""},{"dropping-particle":"","family":"Irawan","given":"Bei Harira","non-dropping-particle":"","parse-names":false,"suffix":""},{"dropping-particle":"","family":"Fitry","given":"Emli","non-dropping-particle":"","parse-names":false,"suffix":""},{"dropping-particle":"","family":"Putra","given":"Arman Syah","non-dropping-particle":"","parse-names":false,"suffix":""}],"container-title":"Jurnal IKRA-ITH Informatika","id":"ITEM-3","issue":"2","issued":{"date-parts":[["2021"]]},"page":"26-33","title":"Konsep Aplikasi E-Dakwah Untuk Generasi Milenial Jakarta","type":"article-journal","volume":"5"},"uris":["http://www.mendeley.com/documents/?uuid=5bc5d5ab-88dd-418f-95d0-614e2bbd9f3d"]},{"id":"ITEM-4","itemData":{"DOI":"10.23971/njppi.v3i1.1191","ISSN":"2597-9930","abstract":"This article aims to explain epystemology of Auguste Comte's law of three-stages from the theory of social change, namely the theological stage, metaphysical stage, and positive stage, and looks for its relevance to the development of studies in the field of the sociology of da'wah. This article employes qualitative study with a descriptive-analysis approach to data have been taken from literature studies. The conclusion of this article is that da'wah studies are very closely related to the social domain, so that in its development, it is a necessary for scientific interaction between one science and another science. Sociology and da'wah are two scientific entities born from different wombs of scientific authority but both can interact and complement each other for social improvement on the one hand, and scientific development on the other. The law of the three stages of Comte in the cultural and the social changes provides a theoretical contribution to the development of the sociology of da'wah studies with a critical review of social phenomena from the perspective of cultural and social objects and the elements of its static and dynamic state.","author":[{"dropping-particle":"","family":"Chabibi","given":"Muhammad","non-dropping-particle":"","parse-names":false,"suffix":""}],"container-title":"NALAR: Jurnal Peradaban dan Pemikiran Islam","id":"ITEM-4","issue":"1","issued":{"date-parts":[["2019"]]},"page":"14-26","title":"Hukum Tiga Tahap Auguste Comte dan Kontribusinya terhadap Kajian Sosiologi Dakwah","type":"article-journal","volume":"3"},"uris":["http://www.mendeley.com/documents/?uuid=9325b650-5edc-4514-bd53-92ea7767cbff"]},{"id":"ITEM-5","itemData":{"abstract":"This study intends to explore various values of Islamic teachings that can be used as a da'wah code of ethics in the social media space. This research is a qualitative research in the form of library research. The main data sources used are various scientific literatures, both in the form of books (books) and scientific journals related to the discussion of ethical values in preaching on social media. Meanwhile, secondary research data sources used are various scientific literatures relevant to the core object of this research. This research is categorized as conceptual research with a philosophical normative approach. Meanwhile, the nature of this research approach is descriptive-analytic. However, it is not only descriptive-analytic, but also prescriptive. The results of the study show that there are various values of Islamic teachings that can be used as ethical values of indictment in the social media space (medsos). These ethical values include being sincere and true, honest, and avoiding coachman debates.","author":[{"dropping-particle":"","family":"Mastori","given":"","non-dropping-particle":"","parse-names":false,"suffix":""},{"dropping-particle":"","family":"Islamy","given":"Athoillah","non-dropping-particle":"","parse-names":false,"suffix":""}],"container-title":"KOMUNIKASIA Journal of Islamic Communication &amp; Broadcasting","id":"ITEM-5","issue":"1","issued":{"date-parts":[["2021"]]},"page":"1-18","title":"Menggagas Etika Dakwah Di Ruang Media Sosial","type":"article-journal","volume":"1"},"uris":["http://www.mendeley.com/documents/?uuid=1853d64b-a378-4015-9b97-03d8343f09e2"]},{"id":"ITEM-6","itemData":{"DOI":"10.29300/syr.v19i2.2551","ISSN":"1693-2714","abstract":"Communication is a process that is absolutely owned by every human beingboth verbally or non-verbally. One form of communication is called propagandacommunication. Da'wah communication is carried out for the purpose ofinviting humanity to the amar ma'ruf nahi munkar. For the purpose of thedesired da'wah communication to be achieved, a communicator must be able to choose the method to be used. Da'wah bil qalam as a method of da'wahcommunication is able to overcome the weaknesses of da'wah which is only done verbally. This method also provides the opportunity for the mad'u to choose the message of preaching in accordance with their abilities and interests so that the purpose of missionary communication is effective and efficient.","author":[{"dropping-particle":"","family":"Fitria","given":"Rini","non-dropping-particle":"","parse-names":false,"suffix":""},{"dropping-particle":"","family":"Aditia","given":"Rafinita","non-dropping-particle":"","parse-names":false,"suffix":""}],"container-title":"Jurnal Ilmiah Syi'ar","id":"ITEM-6","issue":"2","issued":{"date-parts":[["2019"]]},"page":"224","title":"Prospek dan Tantangan Dakwah Bil Qalam sebagai Metode Komunikasi Dakwah","type":"article-journal","volume":"19"},"uris":["http://www.mendeley.com/documents/?uuid=1c1e51b1-3d76-4ba0-9410-40aa1b018e6e"]}],"mendeley":{"formattedCitation":"(Chabibi, 2019; Dewi et al., 2021; Fitria &amp; Aditia, 2019; Mastori &amp; Islamy, 2021; Usman, 2016; Zaini, 2017)","plainTextFormattedCitation":"(Chabibi, 2019; Dewi et al., 2021; Fitria &amp; Aditia, 2019; Mastori &amp; Islamy, 2021; Usman, 2016; Zaini, 2017)","previouslyFormattedCitation":"(Chabibi, 2019; Dewi et al., 2021; Fitria &amp; Aditia, 2019; Mastori &amp; Islamy, 2021; Usman, 2016; Zaini, 2017)"},"properties":{"noteIndex":0},"schema":"https://github.com/citation-style-language/schema/raw/master/csl-citation.json"}</w:instrText>
      </w:r>
      <w:r w:rsidRPr="00CF7C36">
        <w:rPr>
          <w:rFonts w:ascii="Garamond" w:hAnsi="Garamond" w:cs="Times New Roman"/>
          <w:sz w:val="24"/>
          <w:szCs w:val="24"/>
          <w:lang w:val="en-US"/>
        </w:rPr>
        <w:fldChar w:fldCharType="separate"/>
      </w:r>
      <w:r w:rsidRPr="00CF7C36">
        <w:rPr>
          <w:rFonts w:ascii="Garamond" w:hAnsi="Garamond" w:cs="Times New Roman"/>
          <w:noProof/>
          <w:sz w:val="24"/>
          <w:szCs w:val="24"/>
          <w:lang w:val="en-US"/>
        </w:rPr>
        <w:t>(Chabibi, 2019; Dewi et al., 2021; Fitria &amp; Aditia, 2019; Mastori &amp; Islamy, 2021; Usman, 2016; Zaini, 2017)</w:t>
      </w:r>
      <w:r w:rsidRPr="00CF7C36">
        <w:rPr>
          <w:rFonts w:ascii="Garamond" w:hAnsi="Garamond" w:cs="Times New Roman"/>
          <w:sz w:val="24"/>
          <w:szCs w:val="24"/>
          <w:lang w:val="en-US"/>
        </w:rPr>
        <w:fldChar w:fldCharType="end"/>
      </w:r>
      <w:r w:rsidRPr="00CF7C36">
        <w:rPr>
          <w:rFonts w:ascii="Garamond" w:hAnsi="Garamond" w:cs="Times New Roman"/>
          <w:sz w:val="24"/>
          <w:szCs w:val="24"/>
          <w:lang w:val="en-US"/>
        </w:rPr>
        <w:t>.</w:t>
      </w:r>
    </w:p>
    <w:p w14:paraId="3697C6BE" w14:textId="77777777" w:rsid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hAnsi="Garamond" w:cs="Times New Roman"/>
          <w:sz w:val="24"/>
          <w:szCs w:val="24"/>
        </w:rPr>
        <w:t xml:space="preserve">Strategi adalah rencana yang cermat dalam mencapai suatu tujuan. </w:t>
      </w:r>
      <w:r w:rsidRPr="00CF7C36">
        <w:rPr>
          <w:rFonts w:ascii="Garamond" w:eastAsia="Calibri" w:hAnsi="Garamond" w:cs="Times New Roman"/>
          <w:sz w:val="24"/>
          <w:szCs w:val="24"/>
        </w:rPr>
        <w:t xml:space="preserve">Sedangkan secara kumulatif, beberapa ahli mengemukakan bahwa komunikasi adalah proses timbal-balik dengan beberapa unsur yakni komunikator, komunikan, pesan, media dan efek </w:t>
      </w:r>
      <w:r w:rsidRPr="00CF7C36">
        <w:rPr>
          <w:rFonts w:ascii="Garamond" w:eastAsia="Calibri" w:hAnsi="Garamond" w:cs="Times New Roman"/>
          <w:sz w:val="24"/>
          <w:szCs w:val="24"/>
        </w:rPr>
        <w:fldChar w:fldCharType="begin" w:fldLock="1"/>
      </w:r>
      <w:r w:rsidRPr="00CF7C36">
        <w:rPr>
          <w:rFonts w:ascii="Garamond" w:eastAsia="Calibri" w:hAnsi="Garamond" w:cs="Times New Roman"/>
          <w:sz w:val="24"/>
          <w:szCs w:val="24"/>
        </w:rPr>
        <w:instrText>ADDIN CSL_CITATION {"citationItems":[{"id":"ITEM-1","itemData":{"abstract":"The purpose of this article is to elaborate on the essence of maintaining religious \nmoderation amid the covid pandemic 19. The social-religious approach was \nconducted by observing the facts that occur in society. The result indicates that \nmoderate priorities in religion during the covid pandemic 19 became a necessity. \nConsequently, maintaining personal safety and the wider community should \nbecome a priority due to the absence of alternative rather than forcing the will to \ncarry out worship in the mosque or in certain places. Islamic law provides \nrukhsah when the ummah is not in proper conditions to do such rituals like \npraying in the mosque. On the other hand, people are required to better \nunderstand fiqh in the pandemic of Covid 19 by not leaving conventional fiqh. \nAdapting the religious moderation during or after the covid pandemic 19 \nbecomes a necessity, especially relations between humans by avoiding and \nblocking the transmission of the virus in various ways. Acceptance of the new \nhabit caused by covid 19 from various aspects, especially the worship habits of \nthe people should be considered. The principle of avoiding harm is more \nimportant than carrying out benefits is one of the ways in Islam to maintain \nreligious moderation.\n","author":[{"dropping-particle":"","family":"Syatar","given":"Abdul","non-dropping-particle":"","parse-names":false,"suffix":""},{"dropping-particle":"","family":"Amiruddin","given":"Muhammad Majdy","non-dropping-particle":"","parse-names":false,"suffix":""},{"dropping-particle":"","family":"Haq","given":"Islamul","non-dropping-particle":"","parse-names":false,"suffix":""},{"dropping-particle":"","family":"Rahman","given":"Arif","non-dropping-particle":"","parse-names":false,"suffix":""}],"container-title":"KURIOSITAS: Media Komunikasi Sosial dan Keagamaan","id":"ITEM-1","issue":"1","issued":{"date-parts":[["2020"]]},"page":"1-13","title":"Darurat Moderasi Beragama di Tengah Pandemi Corona Virus Disease 2019 (Covid-19)","type":"article-journal","volume":"13"},"uris":["http://www.mendeley.com/documents/?uuid=6026d19a-339a-43ce-bd20-dc009e8ccfa3"]},{"id":"ITEM-2","itemData":{"DOI":"10.15294/sutasoma.v10i1.52868","ISSN":"2252-6463","abstract":"The existence of human fingers has an important role in moral concept based on Javanese culture. Beside as the body languages or gesture, the fingers also have an important position to expressing about moral value. There are some of Javanese literature—poem or oral tradition—that contain moral didactics “how to be a good human”. The aim of this paper is to describe about the fingers in Javanese metaphor concepts based cognitive semantics. The theoretical approach used is the opinion of Johnson and Lakoff, and several relevant previous studies. The research process includes data observation through literature review, data grouping, data reduction, and analysis. The results of this study indicate that the expressions of the fingers in Javanese society state the normative behavior or ethics that must be carried out. This can be seen in the expressions ‘pol-polan’ (thumb), ‘panuduh’ (pointing finger), ‘panunggul’ (middle finger),’ memanis’ (ring finger), and ‘thak-thik’ (little finger). Beside that, the fingers also have the meaning that everyone must balancing and make solidarity.\r Keywords: Javanese literature; the fingers; moral didactics; cognitive semantics.","author":[{"dropping-particle":"","family":"Rokhim","given":"Mukhammad Nur","non-dropping-particle":"","parse-names":false,"suffix":""},{"dropping-particle":"","family":"Septiasih","given":"Ayu","non-dropping-particle":"","parse-names":false,"suffix":""},{"dropping-particle":"","family":"Triana","given":"Desi Enjang","non-dropping-particle":"","parse-names":false,"suffix":""},{"dropping-particle":"","family":"Nivaga","given":"Pristya Sefti","non-dropping-particle":"","parse-names":false,"suffix":""},{"dropping-particle":"","family":"Janah","given":"Mifta Ul","non-dropping-particle":"","parse-names":false,"suffix":""}],"container-title":"Sutasoma : Jurnal Sastra Jawa","id":"ITEM-2","issue":"1","issued":{"date-parts":[["2022"]]},"page":"10-21","title":"Metafora Konseptual Lima Jari dalam Sastra Jawa: Analisis Semantik Kognitif","type":"article-journal","volume":"10"},"uris":["http://www.mendeley.com/documents/?uuid=212d12dc-68cb-459f-ab67-2f8f268d4aee"]},{"id":"ITEM-3","itemData":{"abstract":"Message is one of the most important factors in communication. Therefore, there are some requirements in the effective communication so the message can result in feedback from communicant, namely: 1) The message which would be delivered has to be developed systematically, 2) Message delivered by communicator should be able to attract communicant, and 3) Message must be easily understood by communicant.","author":[{"dropping-particle":"","family":"Nurhadi","given":"Zikri Fachrul","non-dropping-particle":"","parse-names":false,"suffix":""},{"dropping-particle":"","family":"Kurniawan","given":"Achmad Wildan","non-dropping-particle":"","parse-names":false,"suffix":""}],"container-title":"Jurnal Komunikasi Hasil Pemikiran dan Penelitian","id":"ITEM-3","issue":"1","issued":{"date-parts":[["2017"]]},"page":"90-95","title":"Jurnal Komunikasi Hasil Pemikiran dan Penelitian","type":"article-journal","volume":"3"},"uris":["http://www.mendeley.com/documents/?uuid=9aefd823-c0c9-4706-a849-3854a854f341"]},{"id":"ITEM-4","itemData":{"abstract":"Perkembangan teknologi komunikasi telah merambah kehidupan umat manusia. Salah satu bentuk perkembangan teknologi komunikasi adalah media baru (new media) yang kemudian melahirkan media sosial. Dunia politik juga tak lepas dari pengaruh perkembangan media baru dan media sosial. Media sosial ibarat dua sisi mata uang bagi para aktor politik. Di satu sisi keberhasilan memanfaatkan media sosial dapat memungkinkan aktor politik mendapatkan dukungan positif. Tapi di sisi lain kegagalan memanfaatkan media sosial berisiko merusak citra yang dia miliki. Tulisan ini membahas mengenai tantangan dan peluang dari media sosial terhadap para aktor politik. Pemaparan penggunaan media sosial dalam komunikasi politik menjadi bagian pertama dari tulisan ini. Bagian kedua membahas tentang tantangan yang dihadapi oleh para aktor politik di era 2.0 ini. Bagian ketiga memberikan tawaran peluang bagi aktor politik dalam pemanfaatan media sosial. Ada pun bagian keempat atau terakhir merupakan kesimpulan yang berisi apa yang sebaiknya dilakukan oleh para aktor politik untuk meminimalkan risiko dan memaksimalkan peluang yang ditawarkan oleh media sosial.","author":[{"dropping-particle":"","family":"Anshari","given":"Faridhian","non-dropping-particle":"","parse-names":false,"suffix":""}],"container-title":"Jurnal Komunikasi","id":"ITEM-4","issue":"1","issued":{"date-parts":[["2013"]]},"page":"91-102","title":"Komunikasi Politik di Era Media Sosial Faridhian Anshari Staff Pengajar STT PLN Jakarta","type":"article-journal","volume":"8"},"uris":["http://www.mendeley.com/documents/?uuid=54c0e78f-1d55-4afc-9b66-7388473e7fac"]}],"mendeley":{"formattedCitation":"(Anshari, 2013; Nurhadi &amp; Kurniawan, 2017; Rokhim et al., 2022; Syatar et al., 2020)","plainTextFormattedCitation":"(Anshari, 2013; Nurhadi &amp; Kurniawan, 2017; Rokhim et al., 2022; Syatar et al., 2020)","previouslyFormattedCitation":"(Anshari, 2013; Nurhadi &amp; Kurniawan, 2017; Rokhim et al., 2022; Syatar et al., 2020)"},"properties":{"noteIndex":0},"schema":"https://github.com/citation-style-language/schema/raw/master/csl-citation.json"}</w:instrText>
      </w:r>
      <w:r w:rsidRPr="00CF7C36">
        <w:rPr>
          <w:rFonts w:ascii="Garamond" w:eastAsia="Calibri" w:hAnsi="Garamond" w:cs="Times New Roman"/>
          <w:sz w:val="24"/>
          <w:szCs w:val="24"/>
        </w:rPr>
        <w:fldChar w:fldCharType="separate"/>
      </w:r>
      <w:r w:rsidRPr="00CF7C36">
        <w:rPr>
          <w:rFonts w:ascii="Garamond" w:eastAsia="Calibri" w:hAnsi="Garamond" w:cs="Times New Roman"/>
          <w:noProof/>
          <w:sz w:val="24"/>
          <w:szCs w:val="24"/>
        </w:rPr>
        <w:t>(Anshari, 2013; Nurhadi &amp; Kurniawan, 2017; Rokhim et al., 2022; Syatar et al., 2020)</w:t>
      </w:r>
      <w:r w:rsidRPr="00CF7C36">
        <w:rPr>
          <w:rFonts w:ascii="Garamond" w:eastAsia="Calibri" w:hAnsi="Garamond" w:cs="Times New Roman"/>
          <w:sz w:val="24"/>
          <w:szCs w:val="24"/>
        </w:rPr>
        <w:fldChar w:fldCharType="end"/>
      </w:r>
      <w:r w:rsidRPr="00CF7C36">
        <w:rPr>
          <w:rFonts w:ascii="Garamond" w:eastAsia="Calibri" w:hAnsi="Garamond" w:cs="Times New Roman"/>
          <w:sz w:val="24"/>
          <w:szCs w:val="24"/>
        </w:rPr>
        <w:t xml:space="preserve">. </w:t>
      </w:r>
    </w:p>
    <w:p w14:paraId="5A39E075" w14:textId="774F41AF" w:rsidR="00CF7C36" w:rsidRPr="00CF7C36" w:rsidRDefault="00CF7C36" w:rsidP="00CF7C36">
      <w:pPr>
        <w:spacing w:after="0" w:line="240" w:lineRule="auto"/>
        <w:ind w:firstLine="567"/>
        <w:jc w:val="both"/>
        <w:rPr>
          <w:rFonts w:ascii="Garamond" w:hAnsi="Garamond" w:cs="Segoe UI"/>
          <w:color w:val="000000" w:themeColor="text1"/>
          <w:sz w:val="24"/>
          <w:szCs w:val="24"/>
        </w:rPr>
      </w:pPr>
      <w:r w:rsidRPr="00CF7C36">
        <w:rPr>
          <w:rFonts w:ascii="Garamond" w:eastAsia="Calibri" w:hAnsi="Garamond" w:cs="Times New Roman"/>
          <w:sz w:val="24"/>
          <w:szCs w:val="24"/>
        </w:rPr>
        <w:t xml:space="preserve">Strategi dalam paparan ini adalah cara-cara yang digunakan untuk mencapai suatu tujuan. Strategi penyiaran dakwah dapat dilancarkan apabila mengandung etika-etika normatif sehingga pesan yang disampaikan dapat terinternalisasi secara substansial. Strategi ini dapat diinternalisasi melalui komunikasi profetik sesuai tuntunan Al-Qur'an. Dalam </w:t>
      </w:r>
      <w:r w:rsidRPr="00CF7C36">
        <w:rPr>
          <w:rFonts w:ascii="Garamond" w:eastAsia="Calibri" w:hAnsi="Garamond" w:cs="Times New Roman"/>
          <w:i/>
          <w:sz w:val="24"/>
          <w:szCs w:val="24"/>
        </w:rPr>
        <w:t xml:space="preserve">Kamus Besar Bahasa Indonesia </w:t>
      </w:r>
      <w:r w:rsidRPr="00CF7C36">
        <w:rPr>
          <w:rFonts w:ascii="Garamond" w:eastAsia="Calibri" w:hAnsi="Garamond" w:cs="Times New Roman"/>
          <w:i/>
          <w:sz w:val="24"/>
          <w:szCs w:val="24"/>
        </w:rPr>
        <w:fldChar w:fldCharType="begin" w:fldLock="1"/>
      </w:r>
      <w:r w:rsidRPr="00CF7C36">
        <w:rPr>
          <w:rFonts w:ascii="Garamond" w:eastAsia="Calibri" w:hAnsi="Garamond" w:cs="Times New Roman"/>
          <w:i/>
          <w:sz w:val="24"/>
          <w:szCs w:val="24"/>
        </w:rPr>
        <w:instrText>ADDIN CSL_CITATION {"citationItems":[{"id":"ITEM-1","itemData":{"abstract":"</w:instrText>
      </w:r>
      <w:r w:rsidRPr="00CF7C36">
        <w:rPr>
          <w:rFonts w:ascii="Times New Roman" w:eastAsia="Calibri" w:hAnsi="Times New Roman" w:cs="Times New Roman"/>
          <w:i/>
          <w:sz w:val="24"/>
          <w:szCs w:val="24"/>
        </w:rPr>
        <w:instrText>يكي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اعتقادات</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مهم</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مسيحيان،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اعتقاد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گناه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ذاتي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است</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براساس</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اعتقاد،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حضرت</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آدم</w:instrText>
      </w:r>
      <w:r w:rsidRPr="00CF7C36">
        <w:rPr>
          <w:rFonts w:ascii="Garamond" w:eastAsia="Calibri" w:hAnsi="Garamond" w:cs="Times New Roman"/>
          <w:i/>
          <w:sz w:val="24"/>
          <w:szCs w:val="24"/>
        </w:rPr>
        <w:instrText>(</w:instrText>
      </w:r>
      <w:r w:rsidRPr="00CF7C36">
        <w:rPr>
          <w:rFonts w:ascii="Times New Roman" w:eastAsia="Calibri" w:hAnsi="Times New Roman" w:cs="Times New Roman"/>
          <w:i/>
          <w:sz w:val="24"/>
          <w:szCs w:val="24"/>
        </w:rPr>
        <w:instrText>ع</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ميوة</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شجرة</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معرفت</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نيك</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خورد،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در‌حالي‌كه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خداوند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را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خوردن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نهي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كرده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بود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عمل</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گناه،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نه‌تنها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موجب</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سقوط</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آدم</w:instrText>
      </w:r>
      <w:r w:rsidRPr="00CF7C36">
        <w:rPr>
          <w:rFonts w:ascii="Garamond" w:eastAsia="Calibri" w:hAnsi="Garamond" w:cs="Times New Roman"/>
          <w:i/>
          <w:sz w:val="24"/>
          <w:szCs w:val="24"/>
        </w:rPr>
        <w:instrText>(</w:instrText>
      </w:r>
      <w:r w:rsidRPr="00CF7C36">
        <w:rPr>
          <w:rFonts w:ascii="Times New Roman" w:eastAsia="Calibri" w:hAnsi="Times New Roman" w:cs="Times New Roman"/>
          <w:i/>
          <w:sz w:val="24"/>
          <w:szCs w:val="24"/>
        </w:rPr>
        <w:instrText>ع</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گرديد،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بلكه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همة</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ذرية</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را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نيز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آلوده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كرد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آگوستين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پلاگيوس</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تن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دانشمندان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بزرگ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مسيحيت</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از</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مهم‌ترين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نظريه‌پردازان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در</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زمينة</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گناه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ذاتي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هستند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كه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تقابل</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ديدگاه‌هاي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آنان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در</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زمينه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مي‌تواند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بسيار</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جالب</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توجه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باشد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مقاله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رويكرد</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تحليل</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محتوا،‌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بررسي</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اين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آموزه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را</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بر‌اساس</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ديدگاه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آگوستين</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و</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پلاگيوس</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بر</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عهده</w:instrText>
      </w:r>
      <w:r w:rsidRPr="00CF7C36">
        <w:rPr>
          <w:rFonts w:ascii="Garamond" w:eastAsia="Calibri" w:hAnsi="Garamond" w:cs="Times New Roman"/>
          <w:i/>
          <w:sz w:val="24"/>
          <w:szCs w:val="24"/>
        </w:rPr>
        <w:instrText xml:space="preserve"> </w:instrText>
      </w:r>
      <w:r w:rsidRPr="00CF7C36">
        <w:rPr>
          <w:rFonts w:ascii="Times New Roman" w:eastAsia="Calibri" w:hAnsi="Times New Roman" w:cs="Times New Roman"/>
          <w:i/>
          <w:sz w:val="24"/>
          <w:szCs w:val="24"/>
        </w:rPr>
        <w:instrText>دارد</w:instrText>
      </w:r>
      <w:r w:rsidRPr="00CF7C36">
        <w:rPr>
          <w:rFonts w:ascii="Garamond" w:eastAsia="Calibri" w:hAnsi="Garamond" w:cs="Times New Roman"/>
          <w:i/>
          <w:sz w:val="24"/>
          <w:szCs w:val="24"/>
        </w:rPr>
        <w:instrText>.","author":[{"dropping-particle":"","family":"Nasional","given":"Departemen Pendidikan","non-dropping-particle":"","parse-names":false,"suffix":""}],"container-title":"PT. Gramedia Pustaka Utama","id":"ITEM-1","issue":"3","issued":{"date-parts":[["2008"]]},"title":"Kamus Besar Bahasa Indonesia Edisi Keempat","type":"book","volume":"4"},"uris":["http://www.mendeley.com/documents/?uuid=d58fd0c6-8093-3f18-ab14-49f3ed2ac54e"]}],"mendeley":{"formattedCitation":"(Nasional, 2008)","plainTextFormattedCitation":"(Nasional, 2008)"},"properties":{"noteIndex":0},"schema":"https://github.com/citation-style-language/schema/raw/master/csl-citation.json"}</w:instrText>
      </w:r>
      <w:r w:rsidRPr="00CF7C36">
        <w:rPr>
          <w:rFonts w:ascii="Garamond" w:eastAsia="Calibri" w:hAnsi="Garamond" w:cs="Times New Roman"/>
          <w:i/>
          <w:sz w:val="24"/>
          <w:szCs w:val="24"/>
        </w:rPr>
        <w:fldChar w:fldCharType="separate"/>
      </w:r>
      <w:r w:rsidRPr="00CF7C36">
        <w:rPr>
          <w:rFonts w:ascii="Garamond" w:eastAsia="Calibri" w:hAnsi="Garamond" w:cs="Times New Roman"/>
          <w:noProof/>
          <w:sz w:val="24"/>
          <w:szCs w:val="24"/>
        </w:rPr>
        <w:t>(Nasional, 2008)</w:t>
      </w:r>
      <w:r w:rsidRPr="00CF7C36">
        <w:rPr>
          <w:rFonts w:ascii="Garamond" w:eastAsia="Calibri" w:hAnsi="Garamond" w:cs="Times New Roman"/>
          <w:i/>
          <w:sz w:val="24"/>
          <w:szCs w:val="24"/>
        </w:rPr>
        <w:fldChar w:fldCharType="end"/>
      </w:r>
      <w:r w:rsidRPr="00CF7C36">
        <w:rPr>
          <w:rFonts w:ascii="Garamond" w:eastAsia="Calibri" w:hAnsi="Garamond" w:cs="Times New Roman"/>
          <w:i/>
          <w:sz w:val="24"/>
          <w:szCs w:val="24"/>
        </w:rPr>
        <w:t xml:space="preserve"> </w:t>
      </w:r>
      <w:r w:rsidRPr="00CF7C36">
        <w:rPr>
          <w:rFonts w:ascii="Garamond" w:eastAsia="Calibri" w:hAnsi="Garamond" w:cs="Times New Roman"/>
          <w:sz w:val="24"/>
          <w:szCs w:val="24"/>
        </w:rPr>
        <w:t xml:space="preserve">profetik komunikasi berarti tata cara dan organisasi pesan sesuai dengan kenabian. Dalam uraian ini, profetik diidentifikasi menjadi empat bagian, yaitu: </w:t>
      </w:r>
    </w:p>
    <w:p w14:paraId="7964D153" w14:textId="77777777" w:rsidR="00CF7C36" w:rsidRPr="00CF7C36" w:rsidRDefault="00CF7C36" w:rsidP="00B504F7">
      <w:pPr>
        <w:pStyle w:val="ListParagraph"/>
        <w:numPr>
          <w:ilvl w:val="0"/>
          <w:numId w:val="7"/>
        </w:numPr>
        <w:spacing w:after="0" w:line="240" w:lineRule="auto"/>
        <w:ind w:left="851"/>
        <w:jc w:val="both"/>
        <w:rPr>
          <w:rFonts w:ascii="Garamond" w:eastAsia="Calibri" w:hAnsi="Garamond" w:cs="Times New Roman"/>
          <w:sz w:val="24"/>
          <w:szCs w:val="24"/>
        </w:rPr>
      </w:pPr>
      <w:r w:rsidRPr="00CF7C36">
        <w:rPr>
          <w:rFonts w:ascii="Garamond" w:eastAsia="Calibri" w:hAnsi="Garamond" w:cs="Times New Roman"/>
          <w:sz w:val="24"/>
          <w:szCs w:val="24"/>
        </w:rPr>
        <w:t>Komunikasi merupakan proses timbal balik antara dua orang atau lebih.</w:t>
      </w:r>
    </w:p>
    <w:p w14:paraId="2BBF61C7" w14:textId="77777777" w:rsidR="00CF7C36" w:rsidRPr="00CF7C36" w:rsidRDefault="00CF7C36" w:rsidP="00B504F7">
      <w:pPr>
        <w:pStyle w:val="ListParagraph"/>
        <w:numPr>
          <w:ilvl w:val="0"/>
          <w:numId w:val="7"/>
        </w:numPr>
        <w:spacing w:after="0" w:line="240" w:lineRule="auto"/>
        <w:ind w:left="851"/>
        <w:jc w:val="both"/>
        <w:rPr>
          <w:rFonts w:ascii="Garamond" w:eastAsia="Calibri" w:hAnsi="Garamond" w:cs="Times New Roman"/>
          <w:sz w:val="24"/>
          <w:szCs w:val="24"/>
        </w:rPr>
      </w:pPr>
      <w:r w:rsidRPr="00CF7C36">
        <w:rPr>
          <w:rFonts w:ascii="Garamond" w:eastAsia="Calibri" w:hAnsi="Garamond" w:cs="Times New Roman"/>
          <w:sz w:val="24"/>
          <w:szCs w:val="24"/>
        </w:rPr>
        <w:t>Komunikasi dapat diartikan sebagai transaksi gagasan yang relevan demi kebutuhan bersama.</w:t>
      </w:r>
    </w:p>
    <w:p w14:paraId="6816D63F" w14:textId="77777777" w:rsidR="00CF7C36" w:rsidRPr="00CF7C36" w:rsidRDefault="00CF7C36" w:rsidP="00B504F7">
      <w:pPr>
        <w:pStyle w:val="ListParagraph"/>
        <w:numPr>
          <w:ilvl w:val="0"/>
          <w:numId w:val="7"/>
        </w:numPr>
        <w:spacing w:after="0" w:line="240" w:lineRule="auto"/>
        <w:ind w:left="851"/>
        <w:jc w:val="both"/>
        <w:rPr>
          <w:rFonts w:ascii="Garamond" w:eastAsia="Calibri" w:hAnsi="Garamond" w:cs="Times New Roman"/>
          <w:sz w:val="24"/>
          <w:szCs w:val="24"/>
        </w:rPr>
      </w:pPr>
      <w:r w:rsidRPr="00CF7C36">
        <w:rPr>
          <w:rFonts w:ascii="Garamond" w:eastAsia="Calibri" w:hAnsi="Garamond" w:cs="Times New Roman"/>
          <w:sz w:val="24"/>
          <w:szCs w:val="24"/>
        </w:rPr>
        <w:t>Komunikasi adalah proses bertukar pikiran dalam bentuk lisan, tulisan maupun tanda.</w:t>
      </w:r>
    </w:p>
    <w:p w14:paraId="2FAEC71A" w14:textId="4F262F9D" w:rsidR="00993A76" w:rsidRPr="00CF7C36" w:rsidRDefault="00CF7C36" w:rsidP="00CF7C36">
      <w:pPr>
        <w:spacing w:after="0" w:line="240" w:lineRule="auto"/>
        <w:ind w:firstLine="720"/>
        <w:jc w:val="both"/>
        <w:rPr>
          <w:rFonts w:ascii="Garamond" w:hAnsi="Garamond" w:cs="Times New Roman"/>
          <w:color w:val="000000" w:themeColor="text1"/>
          <w:sz w:val="24"/>
          <w:szCs w:val="24"/>
        </w:rPr>
      </w:pPr>
      <w:r w:rsidRPr="00CF7C36">
        <w:rPr>
          <w:rFonts w:ascii="Garamond" w:eastAsia="Calibri" w:hAnsi="Garamond" w:cs="Times New Roman"/>
          <w:sz w:val="24"/>
          <w:szCs w:val="24"/>
        </w:rPr>
        <w:t>Komunikasi disebut sebagai upaya dalam mengkoordinasikan rangsangan lingkungan untuk memperoleh perilaku yang dibutuhkan dalam suatu lingkup sosial</w:t>
      </w:r>
    </w:p>
    <w:p w14:paraId="3528D165" w14:textId="77777777" w:rsidR="00DD5388" w:rsidRDefault="00DD5388" w:rsidP="00993A76">
      <w:pPr>
        <w:pStyle w:val="IlmuDakwah21HeadingPENDAHULUANdst"/>
        <w:rPr>
          <w:color w:val="000000" w:themeColor="text1"/>
        </w:rPr>
      </w:pPr>
      <w:r>
        <w:rPr>
          <w:color w:val="000000" w:themeColor="text1"/>
        </w:rPr>
        <w:t>METODE PENELITIAN</w:t>
      </w:r>
    </w:p>
    <w:p w14:paraId="179701AF" w14:textId="77777777" w:rsidR="00DD5388" w:rsidRPr="00DD5388" w:rsidRDefault="00DD5388" w:rsidP="00063F4A">
      <w:pPr>
        <w:spacing w:after="0" w:line="240" w:lineRule="auto"/>
        <w:ind w:firstLine="567"/>
        <w:jc w:val="both"/>
        <w:rPr>
          <w:rFonts w:ascii="Garamond" w:hAnsi="Garamond" w:cs="Times New Roman"/>
          <w:sz w:val="24"/>
          <w:szCs w:val="24"/>
        </w:rPr>
      </w:pPr>
      <w:r w:rsidRPr="00DD5388">
        <w:rPr>
          <w:rFonts w:ascii="Garamond" w:hAnsi="Garamond" w:cs="Times New Roman"/>
          <w:sz w:val="24"/>
          <w:szCs w:val="24"/>
        </w:rPr>
        <w:t xml:space="preserve">Artikel ini mengkonstruksikan satu uraian pendekatan dengan kajian-kajian yang terkonsep melalui literature kepustakaan </w:t>
      </w:r>
      <w:r w:rsidRPr="00DD5388">
        <w:rPr>
          <w:rFonts w:ascii="Garamond" w:hAnsi="Garamond" w:cs="Times New Roman"/>
          <w:sz w:val="24"/>
          <w:szCs w:val="24"/>
        </w:rPr>
        <w:fldChar w:fldCharType="begin" w:fldLock="1"/>
      </w:r>
      <w:r w:rsidRPr="00DD5388">
        <w:rPr>
          <w:rFonts w:ascii="Garamond" w:hAnsi="Garamond" w:cs="Times New Roman"/>
          <w:sz w:val="24"/>
          <w:szCs w:val="24"/>
        </w:rPr>
        <w:instrText>ADDIN CSL_CITATION {"citationItems":[{"id":"ITEM-1","itemData":{"abstract":"PURPOSE: To study the variation and progression of the pachymetric values from the thinnest point towards the limbus in normal and keratoconic corneas; to establish reference curves for this parameter. METHODS: One hundred eyes with normal corneas and twenty-five eyes with mild keratoconus (stages I and II - Krumeich) were analyzed using the Orbscan. Concentric circles were drawn on the thinnest point of the cornea with increasing radii from 1 to 7 mm. The average results of each circle were calculated and inserted in an Excel table in order to arrange a progression chart for each case starting on the thinnest point. The SPSS software was also used for statistical analysis. Student's t test was then used to compare the found values. RESULTS: The average values on the thinnest point in normal patients was 511.6 microm (standard deviation 30.6). The average values of the thinnest point in patients with keratoconus was 424.4 microm (standard deviation 56.57). Statistically significant different values were reported (p&lt;0.01) for all circles, and for 6 and 7 mm radii p=0.01. CONCLUSION: There is a greater pachymetric variability in patients with keratoconus. Keratoconic corneas also have a faster progression of pachymetric values than healthy eyes. Pachymetric progression complements traditional single point evaluation of corneal thickness and must be considered for the screening at refractive candidates. This parameter may represent an indirect index of the biomechanics of corneal tissue but this hypothesis still needs further studies.","author":[{"dropping-particle":"","family":"Creswell","given":"John W.","non-dropping-particle":"","parse-names":false,"suffix":""}],"container-title":"Research Design","id":"ITEM-1","issued":{"date-parts":[["2014"]]},"title":"Research-Design-Creswell-Chapter-I.Pdf","type":"article"},"uris":["http://www.mendeley.com/documents/?uuid=87c513e3-931e-30e9-bf98-3ba12268f85f"]}],"mendeley":{"formattedCitation":"(Creswell, 2014)","plainTextFormattedCitation":"(Creswell, 2014)","previouslyFormattedCitation":"(Creswell, 2014)"},"properties":{"noteIndex":0},"schema":"https://github.com/citation-style-language/schema/raw/master/csl-citation.json"}</w:instrText>
      </w:r>
      <w:r w:rsidRPr="00DD5388">
        <w:rPr>
          <w:rFonts w:ascii="Garamond" w:hAnsi="Garamond" w:cs="Times New Roman"/>
          <w:sz w:val="24"/>
          <w:szCs w:val="24"/>
        </w:rPr>
        <w:fldChar w:fldCharType="separate"/>
      </w:r>
      <w:r w:rsidRPr="00DD5388">
        <w:rPr>
          <w:rFonts w:ascii="Garamond" w:hAnsi="Garamond" w:cs="Times New Roman"/>
          <w:noProof/>
          <w:sz w:val="24"/>
          <w:szCs w:val="24"/>
        </w:rPr>
        <w:t>(Creswell, 2014)</w:t>
      </w:r>
      <w:r w:rsidRPr="00DD5388">
        <w:rPr>
          <w:rFonts w:ascii="Garamond" w:hAnsi="Garamond" w:cs="Times New Roman"/>
          <w:sz w:val="24"/>
          <w:szCs w:val="24"/>
        </w:rPr>
        <w:fldChar w:fldCharType="end"/>
      </w:r>
      <w:r w:rsidRPr="00DD5388">
        <w:rPr>
          <w:rFonts w:ascii="Garamond" w:hAnsi="Garamond" w:cs="Times New Roman"/>
          <w:sz w:val="24"/>
          <w:szCs w:val="24"/>
        </w:rPr>
        <w:t xml:space="preserve">. </w:t>
      </w:r>
      <w:r w:rsidRPr="00DD5388">
        <w:rPr>
          <w:rFonts w:ascii="Garamond" w:hAnsi="Garamond" w:cs="Times New Roman"/>
          <w:sz w:val="24"/>
          <w:szCs w:val="24"/>
        </w:rPr>
        <w:lastRenderedPageBreak/>
        <w:t>Proses analisis dilaksanakan dengan meninjau beberapa kajian komunikasi dengan membentuk perspektif yang dikhususkan kepada litaratur deduktif-interpretatif.</w:t>
      </w:r>
    </w:p>
    <w:p w14:paraId="6127B074" w14:textId="77777777" w:rsidR="00DD5388" w:rsidRDefault="00DD5388" w:rsidP="00063F4A">
      <w:pPr>
        <w:pStyle w:val="ListParagraph"/>
        <w:spacing w:after="0" w:line="240" w:lineRule="auto"/>
        <w:ind w:left="0" w:firstLine="567"/>
        <w:jc w:val="both"/>
        <w:rPr>
          <w:rFonts w:ascii="Garamond" w:hAnsi="Garamond" w:cs="Times New Roman"/>
          <w:sz w:val="24"/>
          <w:szCs w:val="24"/>
        </w:rPr>
      </w:pPr>
      <w:r w:rsidRPr="00DD5388">
        <w:rPr>
          <w:rFonts w:ascii="Garamond" w:hAnsi="Garamond" w:cs="Times New Roman"/>
          <w:sz w:val="24"/>
          <w:szCs w:val="24"/>
        </w:rPr>
        <w:t xml:space="preserve">Adapun teknik pengumpulan data yang digunakan adalah observasi. Menurut Sugiyono </w:t>
      </w:r>
      <w:r w:rsidRPr="00DD5388">
        <w:rPr>
          <w:rFonts w:ascii="Garamond" w:hAnsi="Garamond" w:cs="Times New Roman"/>
          <w:sz w:val="24"/>
          <w:szCs w:val="24"/>
        </w:rPr>
        <w:fldChar w:fldCharType="begin" w:fldLock="1"/>
      </w:r>
      <w:r w:rsidRPr="00DD5388">
        <w:rPr>
          <w:rFonts w:ascii="Garamond" w:hAnsi="Garamond" w:cs="Times New Roman"/>
          <w:sz w:val="24"/>
          <w:szCs w:val="24"/>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inequality.","author":[{"dropping-particle":"","family":"Sugiyono","given":"","non-dropping-particle":"","parse-names":false,"suffix":""}],"id":"ITEM-1","issued":{"date-parts":[["2014"]]},"title":"Metodologi Penelitian Kuantitatif, Kualitatif dan R &amp; D","type":"book"},"suppress-author":1,"uris":["http://www.mendeley.com/documents/?uuid=fb540c10-1e6e-3339-b2a7-fd5cd284b2c0"]}],"mendeley":{"formattedCitation":"(2014)","plainTextFormattedCitation":"(2014)","previouslyFormattedCitation":"(2014)"},"properties":{"noteIndex":0},"schema":"https://github.com/citation-style-language/schema/raw/master/csl-citation.json"}</w:instrText>
      </w:r>
      <w:r w:rsidRPr="00DD5388">
        <w:rPr>
          <w:rFonts w:ascii="Garamond" w:hAnsi="Garamond" w:cs="Times New Roman"/>
          <w:sz w:val="24"/>
          <w:szCs w:val="24"/>
        </w:rPr>
        <w:fldChar w:fldCharType="separate"/>
      </w:r>
      <w:r w:rsidRPr="00DD5388">
        <w:rPr>
          <w:rFonts w:ascii="Garamond" w:hAnsi="Garamond" w:cs="Times New Roman"/>
          <w:noProof/>
          <w:sz w:val="24"/>
          <w:szCs w:val="24"/>
        </w:rPr>
        <w:t>(2014)</w:t>
      </w:r>
      <w:r w:rsidRPr="00DD5388">
        <w:rPr>
          <w:rFonts w:ascii="Garamond" w:hAnsi="Garamond" w:cs="Times New Roman"/>
          <w:sz w:val="24"/>
          <w:szCs w:val="24"/>
        </w:rPr>
        <w:fldChar w:fldCharType="end"/>
      </w:r>
      <w:r w:rsidRPr="00DD5388">
        <w:rPr>
          <w:rFonts w:ascii="Garamond" w:hAnsi="Garamond" w:cs="Times New Roman"/>
          <w:sz w:val="24"/>
          <w:szCs w:val="24"/>
        </w:rPr>
        <w:t xml:space="preserve"> teknik pengumpulan data merupakan teknik yang paling relevan dalam penelitian, karena tujuan utama dari penelitian adalah mencari, mengumpulkan dan mengolah data. Adapun data primer dalam penelitian ini adalah media sosial dan koran digital sebagai subjek observasi etika berkomunikasi. Sedangkan data sekunder yang digunakan adalah, artikel ilmiah, buku-buku yang berkeenaan dengan tema.</w:t>
      </w:r>
    </w:p>
    <w:p w14:paraId="69F5D91C" w14:textId="33DDD044" w:rsidR="00DD5388" w:rsidRPr="00DD5388" w:rsidRDefault="00DD5388" w:rsidP="00063F4A">
      <w:pPr>
        <w:pStyle w:val="ListParagraph"/>
        <w:spacing w:after="0" w:line="240" w:lineRule="auto"/>
        <w:ind w:left="0" w:firstLine="567"/>
        <w:jc w:val="both"/>
        <w:rPr>
          <w:rFonts w:ascii="Garamond" w:hAnsi="Garamond" w:cs="Times New Roman"/>
          <w:sz w:val="24"/>
          <w:szCs w:val="24"/>
        </w:rPr>
      </w:pPr>
      <w:r w:rsidRPr="00DD5388">
        <w:rPr>
          <w:rFonts w:ascii="Garamond" w:hAnsi="Garamond" w:cs="Times New Roman"/>
          <w:sz w:val="24"/>
          <w:szCs w:val="24"/>
        </w:rPr>
        <w:t xml:space="preserve">Untuk mengolah data mentah yang sudah terkumpul, penulis menggunakan metode </w:t>
      </w:r>
      <w:proofErr w:type="spellStart"/>
      <w:r w:rsidRPr="00DD5388">
        <w:rPr>
          <w:rFonts w:ascii="Garamond" w:hAnsi="Garamond" w:cs="Times New Roman"/>
          <w:sz w:val="24"/>
          <w:szCs w:val="24"/>
        </w:rPr>
        <w:t>analisis</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isi</w:t>
      </w:r>
      <w:proofErr w:type="spellEnd"/>
      <w:r w:rsidRPr="00DD5388">
        <w:rPr>
          <w:rFonts w:ascii="Garamond" w:hAnsi="Garamond" w:cs="Times New Roman"/>
          <w:sz w:val="24"/>
          <w:szCs w:val="24"/>
        </w:rPr>
        <w:t xml:space="preserve">. Menurut Weber dalam </w:t>
      </w:r>
      <w:proofErr w:type="spellStart"/>
      <w:r w:rsidRPr="00DD5388">
        <w:rPr>
          <w:rFonts w:ascii="Garamond" w:hAnsi="Garamond" w:cs="Times New Roman"/>
          <w:sz w:val="24"/>
          <w:szCs w:val="24"/>
        </w:rPr>
        <w:t>Moeloeng</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analisis</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isi</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adalah</w:t>
      </w:r>
      <w:proofErr w:type="spellEnd"/>
      <w:r w:rsidRPr="00DD5388">
        <w:rPr>
          <w:rFonts w:ascii="Garamond" w:hAnsi="Garamond" w:cs="Times New Roman"/>
          <w:sz w:val="24"/>
          <w:szCs w:val="24"/>
        </w:rPr>
        <w:t xml:space="preserve"> tata </w:t>
      </w:r>
      <w:proofErr w:type="spellStart"/>
      <w:r w:rsidRPr="00DD5388">
        <w:rPr>
          <w:rFonts w:ascii="Garamond" w:hAnsi="Garamond" w:cs="Times New Roman"/>
          <w:sz w:val="24"/>
          <w:szCs w:val="24"/>
        </w:rPr>
        <w:t>cara</w:t>
      </w:r>
      <w:proofErr w:type="spellEnd"/>
      <w:r w:rsidRPr="00DD5388">
        <w:rPr>
          <w:rFonts w:ascii="Garamond" w:hAnsi="Garamond" w:cs="Times New Roman"/>
          <w:sz w:val="24"/>
          <w:szCs w:val="24"/>
        </w:rPr>
        <w:t xml:space="preserve"> dalam </w:t>
      </w:r>
      <w:proofErr w:type="spellStart"/>
      <w:r w:rsidRPr="00DD5388">
        <w:rPr>
          <w:rFonts w:ascii="Garamond" w:hAnsi="Garamond" w:cs="Times New Roman"/>
          <w:sz w:val="24"/>
          <w:szCs w:val="24"/>
        </w:rPr>
        <w:t>mengoptimalkan</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prosedur-prosedur</w:t>
      </w:r>
      <w:proofErr w:type="spellEnd"/>
      <w:r w:rsidRPr="00DD5388">
        <w:rPr>
          <w:rFonts w:ascii="Garamond" w:hAnsi="Garamond" w:cs="Times New Roman"/>
          <w:sz w:val="24"/>
          <w:szCs w:val="24"/>
        </w:rPr>
        <w:t xml:space="preserve"> untuk </w:t>
      </w:r>
      <w:proofErr w:type="spellStart"/>
      <w:r w:rsidRPr="00DD5388">
        <w:rPr>
          <w:rFonts w:ascii="Garamond" w:hAnsi="Garamond" w:cs="Times New Roman"/>
          <w:sz w:val="24"/>
          <w:szCs w:val="24"/>
        </w:rPr>
        <w:t>dijadikan</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sebuah</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kesimpulan</w:t>
      </w:r>
      <w:proofErr w:type="spellEnd"/>
      <w:r w:rsidRPr="00DD5388">
        <w:rPr>
          <w:rFonts w:ascii="Garamond" w:hAnsi="Garamond" w:cs="Times New Roman"/>
          <w:sz w:val="24"/>
          <w:szCs w:val="24"/>
        </w:rPr>
        <w:t xml:space="preserve"> yang valid. Selanjutnya, Holsi dalam</w:t>
      </w:r>
      <w:r w:rsidR="00205444">
        <w:rPr>
          <w:rFonts w:ascii="Garamond" w:hAnsi="Garamond" w:cs="Times New Roman"/>
          <w:sz w:val="24"/>
          <w:szCs w:val="24"/>
          <w:lang w:val="en-US"/>
        </w:rPr>
        <w:t xml:space="preserve"> </w:t>
      </w:r>
      <w:r w:rsidRPr="00DD5388">
        <w:rPr>
          <w:rFonts w:ascii="Garamond" w:hAnsi="Garamond" w:cs="Times New Roman"/>
          <w:sz w:val="24"/>
          <w:szCs w:val="24"/>
        </w:rPr>
        <w:t>Moeloeng mengartikannya sebagai teknik apapun yang digunakan untuk menar</w:t>
      </w:r>
      <w:proofErr w:type="spellStart"/>
      <w:r w:rsidRPr="00DD5388">
        <w:rPr>
          <w:rFonts w:ascii="Garamond" w:hAnsi="Garamond" w:cs="Times New Roman"/>
          <w:sz w:val="24"/>
          <w:szCs w:val="24"/>
        </w:rPr>
        <w:t>ik</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kesimpulan</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melalui</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usdaha</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menemukan</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karakteristik</w:t>
      </w:r>
      <w:proofErr w:type="spellEnd"/>
      <w:r w:rsidRPr="00DD5388">
        <w:rPr>
          <w:rFonts w:ascii="Garamond" w:hAnsi="Garamond" w:cs="Times New Roman"/>
          <w:sz w:val="24"/>
          <w:szCs w:val="24"/>
        </w:rPr>
        <w:t xml:space="preserve"> </w:t>
      </w:r>
      <w:proofErr w:type="spellStart"/>
      <w:r w:rsidRPr="00DD5388">
        <w:rPr>
          <w:rFonts w:ascii="Garamond" w:hAnsi="Garamond" w:cs="Times New Roman"/>
          <w:sz w:val="24"/>
          <w:szCs w:val="24"/>
        </w:rPr>
        <w:t>pesan</w:t>
      </w:r>
      <w:proofErr w:type="spellEnd"/>
      <w:r w:rsidRPr="00DD5388">
        <w:rPr>
          <w:rFonts w:ascii="Garamond" w:hAnsi="Garamond" w:cs="Times New Roman"/>
          <w:sz w:val="24"/>
          <w:szCs w:val="24"/>
        </w:rPr>
        <w:t xml:space="preserve"> dan </w:t>
      </w:r>
      <w:proofErr w:type="spellStart"/>
      <w:r w:rsidRPr="00DD5388">
        <w:rPr>
          <w:rFonts w:ascii="Garamond" w:hAnsi="Garamond" w:cs="Times New Roman"/>
          <w:sz w:val="24"/>
          <w:szCs w:val="24"/>
        </w:rPr>
        <w:t>dilakukan</w:t>
      </w:r>
      <w:proofErr w:type="spellEnd"/>
      <w:r w:rsidRPr="00DD5388">
        <w:rPr>
          <w:rFonts w:ascii="Garamond" w:hAnsi="Garamond" w:cs="Times New Roman"/>
          <w:sz w:val="24"/>
          <w:szCs w:val="24"/>
        </w:rPr>
        <w:t xml:space="preserve"> secara </w:t>
      </w:r>
      <w:proofErr w:type="spellStart"/>
      <w:r w:rsidRPr="00DD5388">
        <w:rPr>
          <w:rFonts w:ascii="Garamond" w:hAnsi="Garamond" w:cs="Times New Roman"/>
          <w:sz w:val="24"/>
          <w:szCs w:val="24"/>
        </w:rPr>
        <w:t>obyektif</w:t>
      </w:r>
      <w:proofErr w:type="spellEnd"/>
      <w:r w:rsidRPr="00DD5388">
        <w:rPr>
          <w:rFonts w:ascii="Garamond" w:hAnsi="Garamond" w:cs="Times New Roman"/>
          <w:sz w:val="24"/>
          <w:szCs w:val="24"/>
        </w:rPr>
        <w:t xml:space="preserve"> dan </w:t>
      </w:r>
      <w:proofErr w:type="spellStart"/>
      <w:r w:rsidRPr="00DD5388">
        <w:rPr>
          <w:rFonts w:ascii="Garamond" w:hAnsi="Garamond" w:cs="Times New Roman"/>
          <w:sz w:val="24"/>
          <w:szCs w:val="24"/>
        </w:rPr>
        <w:t>sistematis</w:t>
      </w:r>
      <w:proofErr w:type="spellEnd"/>
      <w:r w:rsidRPr="00DD5388">
        <w:rPr>
          <w:rFonts w:ascii="Garamond" w:hAnsi="Garamond" w:cs="Times New Roman"/>
          <w:sz w:val="24"/>
          <w:szCs w:val="24"/>
        </w:rPr>
        <w:t xml:space="preserve"> </w:t>
      </w:r>
      <w:r w:rsidRPr="00DD5388">
        <w:rPr>
          <w:rFonts w:ascii="Garamond" w:hAnsi="Garamond" w:cs="Times New Roman"/>
          <w:sz w:val="24"/>
          <w:szCs w:val="24"/>
        </w:rPr>
        <w:fldChar w:fldCharType="begin" w:fldLock="1"/>
      </w:r>
      <w:r w:rsidRPr="00DD5388">
        <w:rPr>
          <w:rFonts w:ascii="Garamond" w:hAnsi="Garamond" w:cs="Times New Roman"/>
          <w:sz w:val="24"/>
          <w:szCs w:val="24"/>
        </w:rPr>
        <w:instrText>ADDIN CSL_CITATION {"citationItems":[{"id":"ITEM-1","itemData":{"DOI":"10.4324/9781315124445","abstract":"Max Weber wrote these methodological essays in the closest intimacy with actual research and against a background of constant and intensive meditation on substantive problems in the theory and strategy of the social sciences. They were written between 1903 and 1917, the most productive of Max Weber's life, when he was working on his studies in the sociology of religion and Wirtschaft und Gesellschaft. Weber had done important work in economic and legal history and had taught economic theory. On the basis of original investigations, he had acquired a specialist's knowledge of the details of German economic and social structure. His always vital concern for the political prosperity of Germany among the nations thrust him deeply into discussion of political ideals and programs. Weber's methodology still holds interest for us. Some of its shortcomings, from the contemporary viewpoint, may be attributed to the fact that some of the methodological problems that he treated could not be satisfactorily resolved prior to certain actual developments in research technique. These few qualifications aside, the work remains a pioneering work in large scale social research, from one of the field's masters.","author":[{"dropping-particle":"","family":"Weber","given":"Max","non-dropping-particle":"","parse-names":false,"suffix":""}],"container-title":"Methodology of Social Sciences","id":"ITEM-1","issued":{"date-parts":[["2017"]]},"title":"Methodology of social sciences","type":"book"},"uris":["http://www.mendeley.com/documents/?uuid=ff34a5c8-e492-3fa7-8c44-25a69a03004b"]}],"mendeley":{"formattedCitation":"(Weber, 2017)","plainTextFormattedCitation":"(Weber, 2017)","previouslyFormattedCitation":"(Weber, 2017)"},"properties":{"noteIndex":0},"schema":"https://github.com/citation-style-language/schema/raw/master/csl-citation.json"}</w:instrText>
      </w:r>
      <w:r w:rsidRPr="00DD5388">
        <w:rPr>
          <w:rFonts w:ascii="Garamond" w:hAnsi="Garamond" w:cs="Times New Roman"/>
          <w:sz w:val="24"/>
          <w:szCs w:val="24"/>
        </w:rPr>
        <w:fldChar w:fldCharType="separate"/>
      </w:r>
      <w:r w:rsidRPr="00DD5388">
        <w:rPr>
          <w:rFonts w:ascii="Garamond" w:hAnsi="Garamond" w:cs="Times New Roman"/>
          <w:noProof/>
          <w:sz w:val="24"/>
          <w:szCs w:val="24"/>
        </w:rPr>
        <w:t>(Weber, 2017)</w:t>
      </w:r>
      <w:r w:rsidRPr="00DD5388">
        <w:rPr>
          <w:rFonts w:ascii="Garamond" w:hAnsi="Garamond" w:cs="Times New Roman"/>
          <w:sz w:val="24"/>
          <w:szCs w:val="24"/>
        </w:rPr>
        <w:fldChar w:fldCharType="end"/>
      </w:r>
      <w:r w:rsidRPr="00DD5388">
        <w:rPr>
          <w:rFonts w:ascii="Garamond" w:hAnsi="Garamond" w:cs="Times New Roman"/>
          <w:sz w:val="24"/>
          <w:szCs w:val="24"/>
        </w:rPr>
        <w:t>.</w:t>
      </w:r>
    </w:p>
    <w:p w14:paraId="5F18FA8C" w14:textId="79F5E8EE" w:rsidR="00993A76" w:rsidRPr="00E01F6E" w:rsidRDefault="00993A76" w:rsidP="00993A76">
      <w:pPr>
        <w:pStyle w:val="IlmuDakwah21HeadingPENDAHULUANdst"/>
        <w:rPr>
          <w:color w:val="000000" w:themeColor="text1"/>
        </w:rPr>
      </w:pPr>
      <w:r w:rsidRPr="00E01F6E">
        <w:rPr>
          <w:color w:val="000000" w:themeColor="text1"/>
        </w:rPr>
        <w:t>HASIL DAN PEMBAHASAN</w:t>
      </w:r>
    </w:p>
    <w:p w14:paraId="5C50BF59" w14:textId="77777777" w:rsidR="00993A76" w:rsidRPr="00D75013" w:rsidRDefault="00993A76" w:rsidP="00993A76">
      <w:pPr>
        <w:spacing w:line="240" w:lineRule="auto"/>
        <w:jc w:val="both"/>
        <w:rPr>
          <w:rFonts w:ascii="Garamond" w:hAnsi="Garamond" w:cs="Times New Roman"/>
          <w:b/>
          <w:bCs/>
          <w:color w:val="000000" w:themeColor="text1"/>
          <w:sz w:val="24"/>
          <w:szCs w:val="24"/>
          <w:lang w:val="en-US"/>
        </w:rPr>
      </w:pPr>
      <w:proofErr w:type="spellStart"/>
      <w:r w:rsidRPr="00D75013">
        <w:rPr>
          <w:rFonts w:ascii="Garamond" w:hAnsi="Garamond" w:cs="Times New Roman"/>
          <w:b/>
          <w:bCs/>
          <w:color w:val="000000" w:themeColor="text1"/>
          <w:sz w:val="24"/>
          <w:szCs w:val="24"/>
          <w:lang w:val="en-US"/>
        </w:rPr>
        <w:t>Temuan</w:t>
      </w:r>
      <w:proofErr w:type="spellEnd"/>
      <w:r w:rsidRPr="00D75013">
        <w:rPr>
          <w:rFonts w:ascii="Garamond" w:hAnsi="Garamond" w:cs="Times New Roman"/>
          <w:b/>
          <w:bCs/>
          <w:color w:val="000000" w:themeColor="text1"/>
          <w:sz w:val="24"/>
          <w:szCs w:val="24"/>
          <w:lang w:val="en-US"/>
        </w:rPr>
        <w:t xml:space="preserve"> Penelitian</w:t>
      </w:r>
    </w:p>
    <w:p w14:paraId="1530720B" w14:textId="77777777" w:rsidR="00B566B0" w:rsidRDefault="009A7E90" w:rsidP="00063F4A">
      <w:pPr>
        <w:spacing w:after="0" w:line="240" w:lineRule="auto"/>
        <w:ind w:firstLine="567"/>
        <w:jc w:val="both"/>
        <w:rPr>
          <w:rFonts w:ascii="Garamond" w:hAnsi="Garamond" w:cs="Times New Roman"/>
          <w:color w:val="000000" w:themeColor="text1"/>
          <w:sz w:val="24"/>
          <w:szCs w:val="24"/>
          <w:lang w:val="en-US"/>
        </w:rPr>
      </w:pPr>
      <w:r w:rsidRPr="009A7E90">
        <w:rPr>
          <w:rFonts w:ascii="Garamond" w:hAnsi="Garamond" w:cs="Times New Roman"/>
          <w:sz w:val="24"/>
          <w:szCs w:val="24"/>
        </w:rPr>
        <w:t>Dari hasil observasi, penulis menemukan beberapa pelanggaran etika komunikasi dalam berdakwah, di antaranya: seorang penceramah menuduh ustadz lain sesat (2018), saling mengkafirkan (2019) dan dakwah sesat yang membolehkan hubungan intim saat berpuasa (2022) . beberapa problematika yang penulis paparkan di atas menunjukkan bahwa etika dalam berdakwah di era media baru masih belum diimplementasikan.</w:t>
      </w:r>
    </w:p>
    <w:p w14:paraId="59FB35A7" w14:textId="0F14348B" w:rsidR="009A7E90" w:rsidRPr="00B566B0" w:rsidRDefault="009A7E90" w:rsidP="00063F4A">
      <w:pPr>
        <w:spacing w:after="0" w:line="240" w:lineRule="auto"/>
        <w:ind w:firstLine="567"/>
        <w:jc w:val="both"/>
        <w:rPr>
          <w:rFonts w:ascii="Garamond" w:hAnsi="Garamond" w:cs="Times New Roman"/>
          <w:color w:val="000000" w:themeColor="text1"/>
          <w:sz w:val="24"/>
          <w:szCs w:val="24"/>
          <w:lang w:val="en-US"/>
        </w:rPr>
      </w:pPr>
      <w:r w:rsidRPr="009A7E90">
        <w:rPr>
          <w:rFonts w:ascii="Garamond" w:hAnsi="Garamond" w:cs="Times New Roman"/>
          <w:sz w:val="24"/>
          <w:szCs w:val="24"/>
        </w:rPr>
        <w:t>Ironisnya, problematika ini masih berlanjut dan belum ada upaya filterisasi. Penulis menemukan beberapa indikator penyebab buruknya etika berdakwah pada era media baru, yaitu:</w:t>
      </w:r>
    </w:p>
    <w:p w14:paraId="15463A63" w14:textId="77777777" w:rsidR="009A7E90" w:rsidRPr="009A7E90" w:rsidRDefault="009A7E90" w:rsidP="00063F4A">
      <w:pPr>
        <w:pStyle w:val="ListParagraph"/>
        <w:numPr>
          <w:ilvl w:val="0"/>
          <w:numId w:val="8"/>
        </w:num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Sebagian orientasi dakwah pada media baru hanya mementingkan intensitas audiens.</w:t>
      </w:r>
    </w:p>
    <w:p w14:paraId="423A9EF6" w14:textId="77777777" w:rsidR="009A7E90" w:rsidRPr="009A7E90" w:rsidRDefault="009A7E90" w:rsidP="00063F4A">
      <w:pPr>
        <w:pStyle w:val="ListParagraph"/>
        <w:numPr>
          <w:ilvl w:val="0"/>
          <w:numId w:val="8"/>
        </w:num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Media baru menyediakan wadah bagi seluruh orang untuk bebas berekspresi.</w:t>
      </w:r>
    </w:p>
    <w:p w14:paraId="5DF129A5" w14:textId="77777777" w:rsidR="009A7E90" w:rsidRPr="009A7E90" w:rsidRDefault="009A7E90" w:rsidP="00063F4A">
      <w:pPr>
        <w:pStyle w:val="ListParagraph"/>
        <w:numPr>
          <w:ilvl w:val="0"/>
          <w:numId w:val="8"/>
        </w:num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Banyaknya penceramah yang belum mengerti substansi agama sehingga pesan-pesan yang disampaikan dapat membawa perpecahan.</w:t>
      </w:r>
    </w:p>
    <w:p w14:paraId="07D77676" w14:textId="77777777" w:rsidR="009A7E90" w:rsidRPr="009A7E90" w:rsidRDefault="009A7E90" w:rsidP="00063F4A">
      <w:pPr>
        <w:pStyle w:val="ListParagraph"/>
        <w:numPr>
          <w:ilvl w:val="0"/>
          <w:numId w:val="8"/>
        </w:num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lastRenderedPageBreak/>
        <w:t>Tidak adanya filterisasi yang ketat sehingga konten ujaran kebencian menjamur.</w:t>
      </w:r>
    </w:p>
    <w:p w14:paraId="6FE84656" w14:textId="77777777" w:rsidR="009A7E90" w:rsidRPr="009A7E90" w:rsidRDefault="009A7E90" w:rsidP="00063F4A">
      <w:pPr>
        <w:pStyle w:val="ListParagraph"/>
        <w:numPr>
          <w:ilvl w:val="0"/>
          <w:numId w:val="8"/>
        </w:num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Tidak adanya regulasi yang mumpuni.</w:t>
      </w:r>
    </w:p>
    <w:p w14:paraId="3CDF374C"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Selain kelima poin yang penulis sebutkan di atas, masih terdapat beberapa indikator lain yang memperkeruh suasana dakwah di era media baru. Indikator-indikator inilah yang menyebabkan dakwah pada era digital ini kering sentuhan edukasi. Media baru mampu membuat komunikator mensosialisasikan pesannya secara masif sehingga seluruh lapisan masyarakat dapat menerima pesan tersebut tanpa terikat waktu (bentuknya tidak temporer).</w:t>
      </w:r>
    </w:p>
    <w:p w14:paraId="5A59215F"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Penyebaran pesan inilah yang dimanfaatkan oleh sebagian oknum untuk menyampaikan pesan yang tidak mengandung esensi dakwah dang mengabaikan etika normatif yang berlaku di tengah masyarakat. Imbasnya, opini publik yang terbentuk melalui pesan-pesan negatif hanya menghasilkan stigma negatif. </w:t>
      </w:r>
    </w:p>
    <w:p w14:paraId="28620D49"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Dalam sebuah Hadits, Rasulullah bersabda bahwa seorang komunikator harus memberikan kemudahan, bukan kesusahan. Kemudian, seorang komunikator hendaknya memberikan kabar gembira, bukan sebaliknya. Hadits ini sangat bertolak belakang dengan realita sosial bermasyarakat pada dewasa ini. Beberapa penceramah di media sosial selalu memberikan kabar yang memunculkan keresahan di ruang publik. Ketakutan ini akhirnya menjadi stigma nasional dan memunculkan sifat pesimis dalam bersosial.</w:t>
      </w:r>
    </w:p>
    <w:p w14:paraId="54A45FD7"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Problematika di atas, idealnya sudah terjawab oleh Al-Qur'an. Allah memberikan gambaran komunikasi profetik sebagai standar berdakwah di tengah masyarakat. Komunikasi semacam inilah yang membuat para Nabi dan Rasul berhasil menginternalisasi nilai-nilai keislaman di tengah masyarakat. Keberhasilan ini Allah puji dalam Al-Qur'an bahwa sesungguhnya tugas rasul dalam berdakwah hanya menyampaikan dengan baik dan benar.</w:t>
      </w:r>
    </w:p>
    <w:p w14:paraId="40FDAF65"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Adapun profetik komunikasi Rasul yang termaktub dalam Al-Qur'an adalah sebagai berikut:</w:t>
      </w:r>
    </w:p>
    <w:tbl>
      <w:tblPr>
        <w:tblStyle w:val="TableGrid"/>
        <w:tblW w:w="0" w:type="auto"/>
        <w:tblInd w:w="250" w:type="dxa"/>
        <w:tblLook w:val="04A0" w:firstRow="1" w:lastRow="0" w:firstColumn="1" w:lastColumn="0" w:noHBand="0" w:noVBand="1"/>
      </w:tblPr>
      <w:tblGrid>
        <w:gridCol w:w="1045"/>
        <w:gridCol w:w="1339"/>
        <w:gridCol w:w="1178"/>
        <w:gridCol w:w="3038"/>
      </w:tblGrid>
      <w:tr w:rsidR="009A7E90" w:rsidRPr="009A7E90" w14:paraId="4501B2E3" w14:textId="77777777" w:rsidTr="00584647">
        <w:tc>
          <w:tcPr>
            <w:tcW w:w="709" w:type="dxa"/>
          </w:tcPr>
          <w:p w14:paraId="5F3E8BEF"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No</w:t>
            </w:r>
          </w:p>
        </w:tc>
        <w:tc>
          <w:tcPr>
            <w:tcW w:w="2126" w:type="dxa"/>
          </w:tcPr>
          <w:p w14:paraId="7D8B2C48"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Nilai Profetik</w:t>
            </w:r>
          </w:p>
        </w:tc>
        <w:tc>
          <w:tcPr>
            <w:tcW w:w="2410" w:type="dxa"/>
          </w:tcPr>
          <w:p w14:paraId="5F2ECBE7"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Dalil Al-Qur'an </w:t>
            </w:r>
          </w:p>
        </w:tc>
        <w:tc>
          <w:tcPr>
            <w:tcW w:w="3544" w:type="dxa"/>
          </w:tcPr>
          <w:p w14:paraId="21513F9A"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Upaya Penerapan</w:t>
            </w:r>
          </w:p>
        </w:tc>
      </w:tr>
      <w:tr w:rsidR="009A7E90" w:rsidRPr="009A7E90" w14:paraId="38579E65" w14:textId="77777777" w:rsidTr="00584647">
        <w:tc>
          <w:tcPr>
            <w:tcW w:w="709" w:type="dxa"/>
          </w:tcPr>
          <w:p w14:paraId="6D38944A"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lastRenderedPageBreak/>
              <w:t>1.</w:t>
            </w:r>
          </w:p>
        </w:tc>
        <w:tc>
          <w:tcPr>
            <w:tcW w:w="2126" w:type="dxa"/>
          </w:tcPr>
          <w:p w14:paraId="2E9DD551"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Sadiidan</w:t>
            </w:r>
          </w:p>
        </w:tc>
        <w:tc>
          <w:tcPr>
            <w:tcW w:w="2410" w:type="dxa"/>
          </w:tcPr>
          <w:p w14:paraId="780D56C5"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w:t>
            </w:r>
            <w:r w:rsidRPr="009A7E90">
              <w:rPr>
                <w:rFonts w:ascii="Garamond" w:hAnsi="Garamond" w:cs="Times New Roman"/>
                <w:spacing w:val="1"/>
                <w:sz w:val="24"/>
                <w:szCs w:val="24"/>
              </w:rPr>
              <w:t xml:space="preserve"> </w:t>
            </w:r>
            <w:r w:rsidRPr="009A7E90">
              <w:rPr>
                <w:rFonts w:ascii="Garamond" w:hAnsi="Garamond" w:cs="Times New Roman"/>
                <w:sz w:val="24"/>
                <w:szCs w:val="24"/>
              </w:rPr>
              <w:t>An-Nisaa'</w:t>
            </w:r>
            <w:r w:rsidRPr="009A7E90">
              <w:rPr>
                <w:rFonts w:ascii="Garamond" w:hAnsi="Garamond" w:cs="Times New Roman"/>
                <w:spacing w:val="-5"/>
                <w:sz w:val="24"/>
                <w:szCs w:val="24"/>
              </w:rPr>
              <w:t xml:space="preserve"> </w:t>
            </w:r>
            <w:r w:rsidRPr="009A7E90">
              <w:rPr>
                <w:rFonts w:ascii="Garamond" w:hAnsi="Garamond" w:cs="Times New Roman"/>
                <w:sz w:val="24"/>
                <w:szCs w:val="24"/>
              </w:rPr>
              <w:t>[4]:</w:t>
            </w:r>
            <w:r w:rsidRPr="009A7E90">
              <w:rPr>
                <w:rFonts w:ascii="Garamond" w:hAnsi="Garamond" w:cs="Times New Roman"/>
                <w:spacing w:val="-1"/>
                <w:sz w:val="24"/>
                <w:szCs w:val="24"/>
              </w:rPr>
              <w:t xml:space="preserve"> </w:t>
            </w:r>
            <w:r w:rsidRPr="009A7E90">
              <w:rPr>
                <w:rFonts w:ascii="Garamond" w:hAnsi="Garamond" w:cs="Times New Roman"/>
                <w:sz w:val="24"/>
                <w:szCs w:val="24"/>
              </w:rPr>
              <w:t>9</w:t>
            </w:r>
            <w:r w:rsidRPr="009A7E90">
              <w:rPr>
                <w:rFonts w:ascii="Garamond" w:hAnsi="Garamond" w:cs="Times New Roman"/>
                <w:spacing w:val="-2"/>
                <w:sz w:val="24"/>
                <w:szCs w:val="24"/>
              </w:rPr>
              <w:t xml:space="preserve"> </w:t>
            </w:r>
            <w:r w:rsidRPr="009A7E90">
              <w:rPr>
                <w:rFonts w:ascii="Garamond" w:hAnsi="Garamond" w:cs="Times New Roman"/>
                <w:sz w:val="24"/>
                <w:szCs w:val="24"/>
              </w:rPr>
              <w:t>dan</w:t>
            </w:r>
            <w:r w:rsidRPr="009A7E90">
              <w:rPr>
                <w:rFonts w:ascii="Garamond" w:hAnsi="Garamond" w:cs="Times New Roman"/>
                <w:spacing w:val="1"/>
                <w:sz w:val="24"/>
                <w:szCs w:val="24"/>
              </w:rPr>
              <w:t xml:space="preserve"> </w:t>
            </w:r>
            <w:r w:rsidRPr="009A7E90">
              <w:rPr>
                <w:rFonts w:ascii="Garamond" w:hAnsi="Garamond" w:cs="Times New Roman"/>
                <w:sz w:val="24"/>
                <w:szCs w:val="24"/>
              </w:rPr>
              <w:t>QS. Al-Ahzab</w:t>
            </w:r>
            <w:r w:rsidRPr="009A7E90">
              <w:rPr>
                <w:rFonts w:ascii="Garamond" w:hAnsi="Garamond" w:cs="Times New Roman"/>
                <w:spacing w:val="1"/>
                <w:sz w:val="24"/>
                <w:szCs w:val="24"/>
              </w:rPr>
              <w:t xml:space="preserve"> </w:t>
            </w:r>
            <w:r w:rsidRPr="009A7E90">
              <w:rPr>
                <w:rFonts w:ascii="Garamond" w:hAnsi="Garamond" w:cs="Times New Roman"/>
                <w:sz w:val="24"/>
                <w:szCs w:val="24"/>
              </w:rPr>
              <w:t>[33]:</w:t>
            </w:r>
            <w:r w:rsidRPr="009A7E90">
              <w:rPr>
                <w:rFonts w:ascii="Garamond" w:hAnsi="Garamond" w:cs="Times New Roman"/>
                <w:spacing w:val="-1"/>
                <w:sz w:val="24"/>
                <w:szCs w:val="24"/>
              </w:rPr>
              <w:t xml:space="preserve"> </w:t>
            </w:r>
            <w:r w:rsidRPr="009A7E90">
              <w:rPr>
                <w:rFonts w:ascii="Garamond" w:hAnsi="Garamond" w:cs="Times New Roman"/>
                <w:sz w:val="24"/>
                <w:szCs w:val="24"/>
              </w:rPr>
              <w:t xml:space="preserve">70) </w:t>
            </w:r>
          </w:p>
        </w:tc>
        <w:tc>
          <w:tcPr>
            <w:tcW w:w="3544" w:type="dxa"/>
          </w:tcPr>
          <w:p w14:paraId="32C6B54F" w14:textId="77777777" w:rsidR="009A7E90" w:rsidRPr="009A7E90" w:rsidRDefault="009A7E90" w:rsidP="00063F4A">
            <w:pPr>
              <w:pStyle w:val="ListParagraph"/>
              <w:numPr>
                <w:ilvl w:val="0"/>
                <w:numId w:val="9"/>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Berdakwah dengan bahasa yang mudah dimengerti.</w:t>
            </w:r>
          </w:p>
          <w:p w14:paraId="0C26675A" w14:textId="77777777" w:rsidR="009A7E90" w:rsidRPr="009A7E90" w:rsidRDefault="009A7E90" w:rsidP="00063F4A">
            <w:pPr>
              <w:pStyle w:val="ListParagraph"/>
              <w:numPr>
                <w:ilvl w:val="0"/>
                <w:numId w:val="9"/>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Orientasi pesan merujuk kepada kebenaran.</w:t>
            </w:r>
          </w:p>
        </w:tc>
      </w:tr>
      <w:tr w:rsidR="009A7E90" w:rsidRPr="009A7E90" w14:paraId="34CD362F" w14:textId="77777777" w:rsidTr="00584647">
        <w:tc>
          <w:tcPr>
            <w:tcW w:w="709" w:type="dxa"/>
          </w:tcPr>
          <w:p w14:paraId="14645319"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2.</w:t>
            </w:r>
          </w:p>
        </w:tc>
        <w:tc>
          <w:tcPr>
            <w:tcW w:w="2126" w:type="dxa"/>
          </w:tcPr>
          <w:p w14:paraId="67D4A7B8"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Baliighan</w:t>
            </w:r>
          </w:p>
        </w:tc>
        <w:tc>
          <w:tcPr>
            <w:tcW w:w="2410" w:type="dxa"/>
          </w:tcPr>
          <w:p w14:paraId="64331C2D"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w:t>
            </w:r>
            <w:r w:rsidRPr="009A7E90">
              <w:rPr>
                <w:rFonts w:ascii="Garamond" w:hAnsi="Garamond" w:cs="Times New Roman"/>
                <w:spacing w:val="1"/>
                <w:sz w:val="24"/>
                <w:szCs w:val="24"/>
              </w:rPr>
              <w:t xml:space="preserve"> </w:t>
            </w:r>
            <w:r w:rsidRPr="009A7E90">
              <w:rPr>
                <w:rFonts w:ascii="Garamond" w:hAnsi="Garamond" w:cs="Times New Roman"/>
                <w:sz w:val="24"/>
                <w:szCs w:val="24"/>
              </w:rPr>
              <w:t>An-Nisaa'</w:t>
            </w:r>
            <w:r w:rsidRPr="009A7E90">
              <w:rPr>
                <w:rFonts w:ascii="Garamond" w:hAnsi="Garamond" w:cs="Times New Roman"/>
                <w:spacing w:val="-4"/>
                <w:sz w:val="24"/>
                <w:szCs w:val="24"/>
              </w:rPr>
              <w:t xml:space="preserve"> </w:t>
            </w:r>
            <w:r w:rsidRPr="009A7E90">
              <w:rPr>
                <w:rFonts w:ascii="Garamond" w:hAnsi="Garamond" w:cs="Times New Roman"/>
                <w:sz w:val="24"/>
                <w:szCs w:val="24"/>
              </w:rPr>
              <w:t>[4]:</w:t>
            </w:r>
            <w:r w:rsidRPr="009A7E90">
              <w:rPr>
                <w:rFonts w:ascii="Garamond" w:hAnsi="Garamond" w:cs="Times New Roman"/>
                <w:spacing w:val="-1"/>
                <w:sz w:val="24"/>
                <w:szCs w:val="24"/>
              </w:rPr>
              <w:t xml:space="preserve"> </w:t>
            </w:r>
            <w:r w:rsidRPr="009A7E90">
              <w:rPr>
                <w:rFonts w:ascii="Garamond" w:hAnsi="Garamond" w:cs="Times New Roman"/>
                <w:sz w:val="24"/>
                <w:szCs w:val="24"/>
              </w:rPr>
              <w:t>63)</w:t>
            </w:r>
          </w:p>
        </w:tc>
        <w:tc>
          <w:tcPr>
            <w:tcW w:w="3544" w:type="dxa"/>
          </w:tcPr>
          <w:p w14:paraId="17CCDE7D" w14:textId="77777777" w:rsidR="009A7E90" w:rsidRPr="009A7E90" w:rsidRDefault="009A7E90" w:rsidP="00063F4A">
            <w:pPr>
              <w:pStyle w:val="ListParagraph"/>
              <w:numPr>
                <w:ilvl w:val="0"/>
                <w:numId w:val="10"/>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Berdakwah dengan baik dan benar.</w:t>
            </w:r>
          </w:p>
          <w:p w14:paraId="298029B8" w14:textId="77777777" w:rsidR="009A7E90" w:rsidRPr="009A7E90" w:rsidRDefault="009A7E90" w:rsidP="00063F4A">
            <w:pPr>
              <w:pStyle w:val="ListParagraph"/>
              <w:numPr>
                <w:ilvl w:val="0"/>
                <w:numId w:val="10"/>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Orientasi pesan harus sesuai dan tepat sasaran.</w:t>
            </w:r>
          </w:p>
        </w:tc>
      </w:tr>
      <w:tr w:rsidR="009A7E90" w:rsidRPr="009A7E90" w14:paraId="1769B9A7" w14:textId="77777777" w:rsidTr="00584647">
        <w:tc>
          <w:tcPr>
            <w:tcW w:w="709" w:type="dxa"/>
          </w:tcPr>
          <w:p w14:paraId="3FA487B6"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3.</w:t>
            </w:r>
          </w:p>
        </w:tc>
        <w:tc>
          <w:tcPr>
            <w:tcW w:w="2126" w:type="dxa"/>
          </w:tcPr>
          <w:p w14:paraId="25F71468"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Masyuuran</w:t>
            </w:r>
          </w:p>
        </w:tc>
        <w:tc>
          <w:tcPr>
            <w:tcW w:w="2410" w:type="dxa"/>
          </w:tcPr>
          <w:p w14:paraId="12D6919B"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w:t>
            </w:r>
            <w:r w:rsidRPr="009A7E90">
              <w:rPr>
                <w:rFonts w:ascii="Garamond" w:hAnsi="Garamond" w:cs="Times New Roman"/>
                <w:spacing w:val="-1"/>
                <w:sz w:val="24"/>
                <w:szCs w:val="24"/>
              </w:rPr>
              <w:t xml:space="preserve"> </w:t>
            </w:r>
            <w:r w:rsidRPr="009A7E90">
              <w:rPr>
                <w:rFonts w:ascii="Garamond" w:hAnsi="Garamond" w:cs="Times New Roman"/>
                <w:sz w:val="24"/>
                <w:szCs w:val="24"/>
              </w:rPr>
              <w:t>Al-Israa'</w:t>
            </w:r>
            <w:r w:rsidRPr="009A7E90">
              <w:rPr>
                <w:rFonts w:ascii="Garamond" w:hAnsi="Garamond" w:cs="Times New Roman"/>
                <w:spacing w:val="-1"/>
                <w:sz w:val="24"/>
                <w:szCs w:val="24"/>
              </w:rPr>
              <w:t xml:space="preserve"> </w:t>
            </w:r>
            <w:r w:rsidRPr="009A7E90">
              <w:rPr>
                <w:rFonts w:ascii="Garamond" w:hAnsi="Garamond" w:cs="Times New Roman"/>
                <w:sz w:val="24"/>
                <w:szCs w:val="24"/>
              </w:rPr>
              <w:t>[17]:</w:t>
            </w:r>
            <w:r w:rsidRPr="009A7E90">
              <w:rPr>
                <w:rFonts w:ascii="Garamond" w:hAnsi="Garamond" w:cs="Times New Roman"/>
                <w:spacing w:val="-1"/>
                <w:sz w:val="24"/>
                <w:szCs w:val="24"/>
              </w:rPr>
              <w:t xml:space="preserve"> </w:t>
            </w:r>
            <w:r w:rsidRPr="009A7E90">
              <w:rPr>
                <w:rFonts w:ascii="Garamond" w:hAnsi="Garamond" w:cs="Times New Roman"/>
                <w:sz w:val="24"/>
                <w:szCs w:val="24"/>
              </w:rPr>
              <w:t>28)</w:t>
            </w:r>
          </w:p>
        </w:tc>
        <w:tc>
          <w:tcPr>
            <w:tcW w:w="3544" w:type="dxa"/>
          </w:tcPr>
          <w:p w14:paraId="4C9CA726" w14:textId="77777777" w:rsidR="009A7E90" w:rsidRPr="009A7E90" w:rsidRDefault="009A7E90" w:rsidP="00063F4A">
            <w:pPr>
              <w:pStyle w:val="ListParagraph"/>
              <w:numPr>
                <w:ilvl w:val="0"/>
                <w:numId w:val="11"/>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Berdakwah secara netral.</w:t>
            </w:r>
          </w:p>
          <w:p w14:paraId="30C52D5B" w14:textId="77777777" w:rsidR="009A7E90" w:rsidRPr="009A7E90" w:rsidRDefault="009A7E90" w:rsidP="00063F4A">
            <w:pPr>
              <w:pStyle w:val="ListParagraph"/>
              <w:numPr>
                <w:ilvl w:val="0"/>
                <w:numId w:val="11"/>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Pesan harus rasional dan argumentatif.</w:t>
            </w:r>
          </w:p>
        </w:tc>
      </w:tr>
      <w:tr w:rsidR="009A7E90" w:rsidRPr="009A7E90" w14:paraId="19E2D17B" w14:textId="77777777" w:rsidTr="00584647">
        <w:tc>
          <w:tcPr>
            <w:tcW w:w="709" w:type="dxa"/>
          </w:tcPr>
          <w:p w14:paraId="4E03FAFB"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4.</w:t>
            </w:r>
          </w:p>
        </w:tc>
        <w:tc>
          <w:tcPr>
            <w:tcW w:w="2126" w:type="dxa"/>
          </w:tcPr>
          <w:p w14:paraId="09C05BAF"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Layyinan</w:t>
            </w:r>
          </w:p>
        </w:tc>
        <w:tc>
          <w:tcPr>
            <w:tcW w:w="2410" w:type="dxa"/>
          </w:tcPr>
          <w:p w14:paraId="3389FCA7"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 Thaahaa</w:t>
            </w:r>
            <w:r w:rsidRPr="009A7E90">
              <w:rPr>
                <w:rFonts w:ascii="Garamond" w:hAnsi="Garamond" w:cs="Times New Roman"/>
                <w:spacing w:val="-1"/>
                <w:sz w:val="24"/>
                <w:szCs w:val="24"/>
              </w:rPr>
              <w:t xml:space="preserve"> </w:t>
            </w:r>
            <w:r w:rsidRPr="009A7E90">
              <w:rPr>
                <w:rFonts w:ascii="Garamond" w:hAnsi="Garamond" w:cs="Times New Roman"/>
                <w:sz w:val="24"/>
                <w:szCs w:val="24"/>
              </w:rPr>
              <w:t>(20):</w:t>
            </w:r>
            <w:r w:rsidRPr="009A7E90">
              <w:rPr>
                <w:rFonts w:ascii="Garamond" w:hAnsi="Garamond" w:cs="Times New Roman"/>
                <w:spacing w:val="-3"/>
                <w:sz w:val="24"/>
                <w:szCs w:val="24"/>
              </w:rPr>
              <w:t xml:space="preserve"> </w:t>
            </w:r>
            <w:r w:rsidRPr="009A7E90">
              <w:rPr>
                <w:rFonts w:ascii="Garamond" w:hAnsi="Garamond" w:cs="Times New Roman"/>
                <w:sz w:val="24"/>
                <w:szCs w:val="24"/>
              </w:rPr>
              <w:t>44)</w:t>
            </w:r>
          </w:p>
        </w:tc>
        <w:tc>
          <w:tcPr>
            <w:tcW w:w="3544" w:type="dxa"/>
          </w:tcPr>
          <w:p w14:paraId="4FAE4F5C" w14:textId="77777777" w:rsidR="009A7E90" w:rsidRPr="009A7E90" w:rsidRDefault="009A7E90" w:rsidP="00063F4A">
            <w:pPr>
              <w:pStyle w:val="ListParagraph"/>
              <w:numPr>
                <w:ilvl w:val="0"/>
                <w:numId w:val="12"/>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Menggunakan diksi yang tepat.</w:t>
            </w:r>
          </w:p>
          <w:p w14:paraId="6D275B34" w14:textId="77777777" w:rsidR="009A7E90" w:rsidRPr="009A7E90" w:rsidRDefault="009A7E90" w:rsidP="00063F4A">
            <w:pPr>
              <w:pStyle w:val="ListParagraph"/>
              <w:numPr>
                <w:ilvl w:val="0"/>
                <w:numId w:val="12"/>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Menggunakan adab yang lembut dalam berdakwah.</w:t>
            </w:r>
          </w:p>
        </w:tc>
      </w:tr>
      <w:tr w:rsidR="009A7E90" w:rsidRPr="009A7E90" w14:paraId="3AE96EFC" w14:textId="77777777" w:rsidTr="00584647">
        <w:tc>
          <w:tcPr>
            <w:tcW w:w="709" w:type="dxa"/>
          </w:tcPr>
          <w:p w14:paraId="2D8B0B44"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5.</w:t>
            </w:r>
          </w:p>
        </w:tc>
        <w:tc>
          <w:tcPr>
            <w:tcW w:w="2126" w:type="dxa"/>
          </w:tcPr>
          <w:p w14:paraId="4A3BF04B"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Kariiman</w:t>
            </w:r>
          </w:p>
        </w:tc>
        <w:tc>
          <w:tcPr>
            <w:tcW w:w="2410" w:type="dxa"/>
          </w:tcPr>
          <w:p w14:paraId="787E36BF"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w:t>
            </w:r>
            <w:r w:rsidRPr="009A7E90">
              <w:rPr>
                <w:rFonts w:ascii="Garamond" w:hAnsi="Garamond" w:cs="Times New Roman"/>
                <w:spacing w:val="1"/>
                <w:sz w:val="24"/>
                <w:szCs w:val="24"/>
              </w:rPr>
              <w:t xml:space="preserve"> </w:t>
            </w:r>
            <w:r w:rsidRPr="009A7E90">
              <w:rPr>
                <w:rFonts w:ascii="Garamond" w:hAnsi="Garamond" w:cs="Times New Roman"/>
                <w:sz w:val="24"/>
                <w:szCs w:val="24"/>
              </w:rPr>
              <w:t>Al-Israa'</w:t>
            </w:r>
            <w:r w:rsidRPr="009A7E90">
              <w:rPr>
                <w:rFonts w:ascii="Garamond" w:hAnsi="Garamond" w:cs="Times New Roman"/>
                <w:spacing w:val="-2"/>
                <w:sz w:val="24"/>
                <w:szCs w:val="24"/>
              </w:rPr>
              <w:t xml:space="preserve"> </w:t>
            </w:r>
            <w:r w:rsidRPr="009A7E90">
              <w:rPr>
                <w:rFonts w:ascii="Garamond" w:hAnsi="Garamond" w:cs="Times New Roman"/>
                <w:sz w:val="24"/>
                <w:szCs w:val="24"/>
              </w:rPr>
              <w:t>[17]:</w:t>
            </w:r>
            <w:r w:rsidRPr="009A7E90">
              <w:rPr>
                <w:rFonts w:ascii="Garamond" w:hAnsi="Garamond" w:cs="Times New Roman"/>
                <w:spacing w:val="-1"/>
                <w:sz w:val="24"/>
                <w:szCs w:val="24"/>
              </w:rPr>
              <w:t xml:space="preserve"> </w:t>
            </w:r>
            <w:r w:rsidRPr="009A7E90">
              <w:rPr>
                <w:rFonts w:ascii="Garamond" w:hAnsi="Garamond" w:cs="Times New Roman"/>
                <w:sz w:val="24"/>
                <w:szCs w:val="24"/>
              </w:rPr>
              <w:t xml:space="preserve">23) </w:t>
            </w:r>
          </w:p>
        </w:tc>
        <w:tc>
          <w:tcPr>
            <w:tcW w:w="3544" w:type="dxa"/>
          </w:tcPr>
          <w:p w14:paraId="1D0744DC" w14:textId="77777777" w:rsidR="009A7E90" w:rsidRPr="009A7E90" w:rsidRDefault="009A7E90" w:rsidP="00063F4A">
            <w:pPr>
              <w:pStyle w:val="ListParagraph"/>
              <w:numPr>
                <w:ilvl w:val="0"/>
                <w:numId w:val="13"/>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Mengidentifikasi audiens dengan latar belakang ekonomi, pendidikan, dsb.</w:t>
            </w:r>
          </w:p>
        </w:tc>
      </w:tr>
      <w:tr w:rsidR="009A7E90" w:rsidRPr="009A7E90" w14:paraId="3941FAC7" w14:textId="77777777" w:rsidTr="00584647">
        <w:tc>
          <w:tcPr>
            <w:tcW w:w="709" w:type="dxa"/>
          </w:tcPr>
          <w:p w14:paraId="285382D4"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6.</w:t>
            </w:r>
          </w:p>
        </w:tc>
        <w:tc>
          <w:tcPr>
            <w:tcW w:w="2126" w:type="dxa"/>
          </w:tcPr>
          <w:p w14:paraId="26CECB38" w14:textId="77777777" w:rsidR="009A7E90" w:rsidRPr="009A7E90" w:rsidRDefault="009A7E90" w:rsidP="00063F4A">
            <w:pPr>
              <w:spacing w:after="0" w:line="240" w:lineRule="auto"/>
              <w:ind w:firstLine="567"/>
              <w:jc w:val="both"/>
              <w:rPr>
                <w:rFonts w:ascii="Garamond" w:hAnsi="Garamond" w:cs="Times New Roman"/>
                <w:i/>
                <w:sz w:val="24"/>
                <w:szCs w:val="24"/>
              </w:rPr>
            </w:pPr>
            <w:r w:rsidRPr="009A7E90">
              <w:rPr>
                <w:rFonts w:ascii="Garamond" w:hAnsi="Garamond" w:cs="Times New Roman"/>
                <w:i/>
                <w:sz w:val="24"/>
                <w:szCs w:val="24"/>
              </w:rPr>
              <w:t>Qaulan Ma’ruufan</w:t>
            </w:r>
          </w:p>
        </w:tc>
        <w:tc>
          <w:tcPr>
            <w:tcW w:w="2410" w:type="dxa"/>
          </w:tcPr>
          <w:p w14:paraId="6656F2C4"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(QS.</w:t>
            </w:r>
            <w:r w:rsidRPr="009A7E90">
              <w:rPr>
                <w:rFonts w:ascii="Garamond" w:hAnsi="Garamond" w:cs="Times New Roman"/>
                <w:spacing w:val="1"/>
                <w:sz w:val="24"/>
                <w:szCs w:val="24"/>
              </w:rPr>
              <w:t xml:space="preserve"> </w:t>
            </w:r>
            <w:r w:rsidRPr="009A7E90">
              <w:rPr>
                <w:rFonts w:ascii="Garamond" w:hAnsi="Garamond" w:cs="Times New Roman"/>
                <w:sz w:val="24"/>
                <w:szCs w:val="24"/>
              </w:rPr>
              <w:t>An-Nisaa'</w:t>
            </w:r>
            <w:r w:rsidRPr="009A7E90">
              <w:rPr>
                <w:rFonts w:ascii="Garamond" w:hAnsi="Garamond" w:cs="Times New Roman"/>
                <w:spacing w:val="-4"/>
                <w:sz w:val="24"/>
                <w:szCs w:val="24"/>
              </w:rPr>
              <w:t xml:space="preserve"> </w:t>
            </w:r>
            <w:r w:rsidRPr="009A7E90">
              <w:rPr>
                <w:rFonts w:ascii="Garamond" w:hAnsi="Garamond" w:cs="Times New Roman"/>
                <w:sz w:val="24"/>
                <w:szCs w:val="24"/>
              </w:rPr>
              <w:t>[4]:</w:t>
            </w:r>
            <w:r w:rsidRPr="009A7E90">
              <w:rPr>
                <w:rFonts w:ascii="Garamond" w:hAnsi="Garamond" w:cs="Times New Roman"/>
                <w:spacing w:val="-1"/>
                <w:sz w:val="24"/>
                <w:szCs w:val="24"/>
              </w:rPr>
              <w:t xml:space="preserve"> </w:t>
            </w:r>
            <w:r w:rsidRPr="009A7E90">
              <w:rPr>
                <w:rFonts w:ascii="Garamond" w:hAnsi="Garamond" w:cs="Times New Roman"/>
                <w:sz w:val="24"/>
                <w:szCs w:val="24"/>
              </w:rPr>
              <w:t>5)</w:t>
            </w:r>
          </w:p>
        </w:tc>
        <w:tc>
          <w:tcPr>
            <w:tcW w:w="3544" w:type="dxa"/>
          </w:tcPr>
          <w:p w14:paraId="30AC37B9" w14:textId="77777777" w:rsidR="009A7E90" w:rsidRPr="009A7E90" w:rsidRDefault="009A7E90" w:rsidP="00063F4A">
            <w:pPr>
              <w:pStyle w:val="ListParagraph"/>
              <w:numPr>
                <w:ilvl w:val="0"/>
                <w:numId w:val="14"/>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Berdakwah sesuai etika.</w:t>
            </w:r>
          </w:p>
          <w:p w14:paraId="59E28AF9" w14:textId="77777777" w:rsidR="009A7E90" w:rsidRPr="009A7E90" w:rsidRDefault="009A7E90" w:rsidP="00063F4A">
            <w:pPr>
              <w:pStyle w:val="ListParagraph"/>
              <w:numPr>
                <w:ilvl w:val="0"/>
                <w:numId w:val="14"/>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Tidak provokatif.</w:t>
            </w:r>
          </w:p>
          <w:p w14:paraId="62FA5955" w14:textId="77777777" w:rsidR="009A7E90" w:rsidRPr="009A7E90" w:rsidRDefault="009A7E90" w:rsidP="00063F4A">
            <w:pPr>
              <w:pStyle w:val="ListParagraph"/>
              <w:numPr>
                <w:ilvl w:val="0"/>
                <w:numId w:val="14"/>
              </w:numPr>
              <w:spacing w:after="0" w:line="240" w:lineRule="auto"/>
              <w:ind w:left="459" w:firstLine="567"/>
              <w:jc w:val="both"/>
              <w:rPr>
                <w:rFonts w:ascii="Garamond" w:hAnsi="Garamond" w:cs="Times New Roman"/>
                <w:sz w:val="24"/>
                <w:szCs w:val="24"/>
              </w:rPr>
            </w:pPr>
            <w:r w:rsidRPr="009A7E90">
              <w:rPr>
                <w:rFonts w:ascii="Garamond" w:hAnsi="Garamond" w:cs="Times New Roman"/>
                <w:sz w:val="24"/>
                <w:szCs w:val="24"/>
              </w:rPr>
              <w:t>Orientasi pesan mengandung kebaikan bersama.</w:t>
            </w:r>
          </w:p>
        </w:tc>
      </w:tr>
    </w:tbl>
    <w:p w14:paraId="333E8986" w14:textId="77777777" w:rsidR="009A7E90" w:rsidRPr="009A7E90" w:rsidRDefault="009A7E90" w:rsidP="00063F4A">
      <w:pPr>
        <w:spacing w:after="0" w:line="240" w:lineRule="auto"/>
        <w:ind w:firstLine="567"/>
        <w:jc w:val="center"/>
        <w:rPr>
          <w:rFonts w:ascii="Garamond" w:hAnsi="Garamond" w:cs="Times New Roman"/>
          <w:i/>
          <w:sz w:val="24"/>
          <w:szCs w:val="24"/>
        </w:rPr>
      </w:pPr>
      <w:r w:rsidRPr="009A7E90">
        <w:rPr>
          <w:rFonts w:ascii="Garamond" w:hAnsi="Garamond" w:cs="Times New Roman"/>
          <w:i/>
          <w:sz w:val="24"/>
          <w:szCs w:val="24"/>
        </w:rPr>
        <w:t>Tabel 1. Profetik komunikasi dan upaya penerapannya</w:t>
      </w:r>
    </w:p>
    <w:p w14:paraId="012E9C5F"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Dari tabulasi di atas, dapat diasumsikan bahwa Al-Qur'an secara eviden memaparkan etika komunikasi rasul dalam berdakwah. Redaksi </w:t>
      </w:r>
      <w:r w:rsidRPr="009A7E90">
        <w:rPr>
          <w:rFonts w:ascii="Garamond" w:hAnsi="Garamond" w:cs="Times New Roman"/>
          <w:i/>
          <w:sz w:val="24"/>
          <w:szCs w:val="24"/>
        </w:rPr>
        <w:t>Qaulan Sadiidan</w:t>
      </w:r>
      <w:r w:rsidRPr="009A7E90">
        <w:rPr>
          <w:rFonts w:ascii="Garamond" w:hAnsi="Garamond" w:cs="Times New Roman"/>
          <w:sz w:val="24"/>
          <w:szCs w:val="24"/>
        </w:rPr>
        <w:t xml:space="preserve"> menunjukkan etika berkomunikasi secara baik dan jujur. Etika inilah yang dewasa ini mulai memudar dimana sebagian pendakwah </w:t>
      </w:r>
      <w:r w:rsidRPr="009A7E90">
        <w:rPr>
          <w:rFonts w:ascii="Garamond" w:hAnsi="Garamond" w:cs="Times New Roman"/>
          <w:sz w:val="24"/>
          <w:szCs w:val="24"/>
        </w:rPr>
        <w:lastRenderedPageBreak/>
        <w:t>hanya memaparkan pesan yang menurutnya penting sehingga isi dari ceramahnya hanya seperti konspirasi semata dan tidak memiliki landasan rasional. Apabila etika ini diinternalisasi, maka dapat dipastikan organisasi pesan yang hendak disebarkan ke masyarakat mengandung nilai-nilai normatif sesuai ajaran Islam.</w:t>
      </w:r>
    </w:p>
    <w:p w14:paraId="74318EF2"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Redaksi </w:t>
      </w:r>
      <w:r w:rsidRPr="009A7E90">
        <w:rPr>
          <w:rFonts w:ascii="Garamond" w:hAnsi="Garamond" w:cs="Times New Roman"/>
          <w:i/>
          <w:sz w:val="24"/>
          <w:szCs w:val="24"/>
        </w:rPr>
        <w:t>Qaulan Balighan</w:t>
      </w:r>
      <w:r w:rsidRPr="009A7E90">
        <w:rPr>
          <w:rFonts w:ascii="Garamond" w:hAnsi="Garamond" w:cs="Times New Roman"/>
          <w:sz w:val="24"/>
          <w:szCs w:val="24"/>
        </w:rPr>
        <w:t xml:space="preserve"> menunjukkan etika berkomunikasi</w:t>
      </w:r>
      <w:r w:rsidRPr="009A7E90">
        <w:rPr>
          <w:rFonts w:ascii="Garamond" w:hAnsi="Garamond" w:cs="Times New Roman"/>
          <w:spacing w:val="1"/>
          <w:sz w:val="24"/>
          <w:szCs w:val="24"/>
        </w:rPr>
        <w:t xml:space="preserve"> </w:t>
      </w:r>
      <w:r w:rsidRPr="009A7E90">
        <w:rPr>
          <w:rFonts w:ascii="Garamond" w:hAnsi="Garamond" w:cs="Times New Roman"/>
          <w:sz w:val="24"/>
          <w:szCs w:val="24"/>
        </w:rPr>
        <w:t>secara</w:t>
      </w:r>
      <w:r w:rsidRPr="009A7E90">
        <w:rPr>
          <w:rFonts w:ascii="Garamond" w:hAnsi="Garamond" w:cs="Times New Roman"/>
          <w:spacing w:val="1"/>
          <w:sz w:val="24"/>
          <w:szCs w:val="24"/>
        </w:rPr>
        <w:t xml:space="preserve"> </w:t>
      </w:r>
      <w:r w:rsidRPr="009A7E90">
        <w:rPr>
          <w:rFonts w:ascii="Garamond" w:hAnsi="Garamond" w:cs="Times New Roman"/>
          <w:sz w:val="24"/>
          <w:szCs w:val="24"/>
        </w:rPr>
        <w:t>efektif,</w:t>
      </w:r>
      <w:r w:rsidRPr="009A7E90">
        <w:rPr>
          <w:rFonts w:ascii="Garamond" w:hAnsi="Garamond" w:cs="Times New Roman"/>
          <w:spacing w:val="1"/>
          <w:sz w:val="24"/>
          <w:szCs w:val="24"/>
        </w:rPr>
        <w:t xml:space="preserve"> </w:t>
      </w:r>
      <w:r w:rsidRPr="009A7E90">
        <w:rPr>
          <w:rFonts w:ascii="Garamond" w:hAnsi="Garamond" w:cs="Times New Roman"/>
          <w:sz w:val="24"/>
          <w:szCs w:val="24"/>
        </w:rPr>
        <w:t>tepat</w:t>
      </w:r>
      <w:r w:rsidRPr="009A7E90">
        <w:rPr>
          <w:rFonts w:ascii="Garamond" w:hAnsi="Garamond" w:cs="Times New Roman"/>
          <w:spacing w:val="1"/>
          <w:sz w:val="24"/>
          <w:szCs w:val="24"/>
        </w:rPr>
        <w:t xml:space="preserve"> </w:t>
      </w:r>
      <w:r w:rsidRPr="009A7E90">
        <w:rPr>
          <w:rFonts w:ascii="Garamond" w:hAnsi="Garamond" w:cs="Times New Roman"/>
          <w:sz w:val="24"/>
          <w:szCs w:val="24"/>
        </w:rPr>
        <w:t>sasaran</w:t>
      </w:r>
      <w:r w:rsidRPr="009A7E90">
        <w:rPr>
          <w:rFonts w:ascii="Garamond" w:hAnsi="Garamond" w:cs="Times New Roman"/>
          <w:spacing w:val="1"/>
          <w:sz w:val="24"/>
          <w:szCs w:val="24"/>
        </w:rPr>
        <w:t xml:space="preserve"> </w:t>
      </w:r>
      <w:r w:rsidRPr="009A7E90">
        <w:rPr>
          <w:rFonts w:ascii="Garamond" w:hAnsi="Garamond" w:cs="Times New Roman"/>
          <w:sz w:val="24"/>
          <w:szCs w:val="24"/>
        </w:rPr>
        <w:t>dan</w:t>
      </w:r>
      <w:r w:rsidRPr="009A7E90">
        <w:rPr>
          <w:rFonts w:ascii="Garamond" w:hAnsi="Garamond" w:cs="Times New Roman"/>
          <w:spacing w:val="1"/>
          <w:sz w:val="24"/>
          <w:szCs w:val="24"/>
        </w:rPr>
        <w:t xml:space="preserve"> </w:t>
      </w:r>
      <w:r w:rsidRPr="009A7E90">
        <w:rPr>
          <w:rFonts w:ascii="Garamond" w:hAnsi="Garamond" w:cs="Times New Roman"/>
          <w:sz w:val="24"/>
          <w:szCs w:val="24"/>
        </w:rPr>
        <w:t>tujuan. Urgensi penerapan etika ini adalah agar pesan-pesan yang dikomunikasikan dapat diinternalisasi dengan baik oleh masyarakat. Meski pesan-pesan yang disampaikan benar namun cara berkomunikasinya tidak tepat, maka pesan-pesan kebaikan tidak akan diterima oleh audiens.</w:t>
      </w:r>
    </w:p>
    <w:p w14:paraId="2C45E116"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Selanjutnya, redaksi </w:t>
      </w:r>
      <w:r w:rsidRPr="009A7E90">
        <w:rPr>
          <w:rFonts w:ascii="Garamond" w:hAnsi="Garamond" w:cs="Times New Roman"/>
          <w:i/>
          <w:sz w:val="24"/>
          <w:szCs w:val="24"/>
        </w:rPr>
        <w:t xml:space="preserve">Qaulan Masyuuran </w:t>
      </w:r>
      <w:r w:rsidRPr="009A7E90">
        <w:rPr>
          <w:rFonts w:ascii="Garamond" w:hAnsi="Garamond" w:cs="Times New Roman"/>
          <w:sz w:val="24"/>
          <w:szCs w:val="24"/>
        </w:rPr>
        <w:t>merujuk pada komunikasi tanpa keberpihakan. Dewasa ini tidak sedikit komunikator dakwah yang tidak netral dalam menyampaikan pesan sehingga muncul tendensi tertentu dalam menyampaikan pesan. Etika ini harus dihindari karena etika dalam berdakwah hanyalah menyeru kepada kebenaran sehingga masyarakat dapat tercerahkan karenanya.</w:t>
      </w:r>
    </w:p>
    <w:p w14:paraId="0FD8E216"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sz w:val="24"/>
          <w:szCs w:val="24"/>
        </w:rPr>
        <w:t xml:space="preserve">Kemudian, redaksi </w:t>
      </w:r>
      <w:r w:rsidRPr="009A7E90">
        <w:rPr>
          <w:rFonts w:ascii="Garamond" w:hAnsi="Garamond" w:cs="Times New Roman"/>
          <w:i/>
          <w:sz w:val="24"/>
          <w:szCs w:val="24"/>
        </w:rPr>
        <w:t>Qaulan Layyinan</w:t>
      </w:r>
      <w:r w:rsidRPr="009A7E90">
        <w:rPr>
          <w:rFonts w:ascii="Garamond" w:hAnsi="Garamond" w:cs="Times New Roman"/>
          <w:sz w:val="24"/>
          <w:szCs w:val="24"/>
        </w:rPr>
        <w:t xml:space="preserve"> merujuk kepada cara berkomunikasi yang halus, sopan dan lemah lembut. Profetik ini tergambar dalam kisah nabi Musa ketika hendak mendatangi Fir’aun. Allah menyeru kepada nabi Musa agar mendatangi Fir’aun dengan etika komunikasi yang santun meskipun Fir’aun sudah berbuat zalim. Etika ini menunjukkan bahwa sekeras dan sezalim apapun komunikannya, cara berdakwah harus tetap lemah lembut dan berorientasi kepada nilai-nilai humanis.</w:t>
      </w:r>
    </w:p>
    <w:p w14:paraId="0E661859" w14:textId="77777777" w:rsidR="009A7E90" w:rsidRPr="009A7E90" w:rsidRDefault="009A7E90" w:rsidP="00063F4A">
      <w:pPr>
        <w:spacing w:after="0" w:line="240" w:lineRule="auto"/>
        <w:ind w:firstLine="567"/>
        <w:jc w:val="both"/>
        <w:rPr>
          <w:rFonts w:ascii="Garamond" w:hAnsi="Garamond" w:cs="Times New Roman"/>
          <w:sz w:val="24"/>
          <w:szCs w:val="24"/>
        </w:rPr>
      </w:pPr>
      <w:r w:rsidRPr="009A7E90">
        <w:rPr>
          <w:rFonts w:ascii="Garamond" w:hAnsi="Garamond" w:cs="Times New Roman"/>
          <w:i/>
          <w:sz w:val="24"/>
          <w:szCs w:val="24"/>
        </w:rPr>
        <w:t>Qaulan Kariiman</w:t>
      </w:r>
      <w:r w:rsidRPr="009A7E90">
        <w:rPr>
          <w:rFonts w:ascii="Garamond" w:hAnsi="Garamond" w:cs="Times New Roman"/>
          <w:sz w:val="24"/>
          <w:szCs w:val="24"/>
        </w:rPr>
        <w:t xml:space="preserve"> dalam Al-Qur'an merujuk pada dimensi komunikator yang menyampaikan pesan sesuai latar belakang komunikannya. Penggunaan bahasa yang sesuai menjadi kunci sukses para Rasul dalam berdakwah sehingga nilai-nilai Islam tumbuh di tengah masyarkat. Kemudian redaksi </w:t>
      </w:r>
      <w:r w:rsidRPr="009A7E90">
        <w:rPr>
          <w:rFonts w:ascii="Garamond" w:hAnsi="Garamond" w:cs="Times New Roman"/>
          <w:i/>
          <w:sz w:val="24"/>
          <w:szCs w:val="24"/>
        </w:rPr>
        <w:t xml:space="preserve">Qaulan Ma’rufan </w:t>
      </w:r>
      <w:r w:rsidRPr="009A7E90">
        <w:rPr>
          <w:rFonts w:ascii="Garamond" w:hAnsi="Garamond" w:cs="Times New Roman"/>
          <w:sz w:val="24"/>
          <w:szCs w:val="24"/>
        </w:rPr>
        <w:t>menggambarkan identifikasi komunikasi yang penuh etika dan tidak provokatif. Dewasa ini tidak sedikit oknum pendakwah yang memberikan pesan provokatif sehingga memunculkan amarah masyarakat. Dakwah yang provokatif hanya memunculkan segregasi sosial dan berimbas kepada perpecahan.</w:t>
      </w:r>
    </w:p>
    <w:p w14:paraId="60C82376" w14:textId="7DC0C434" w:rsidR="00993A76" w:rsidRPr="009A7E90" w:rsidRDefault="009A7E90" w:rsidP="00063F4A">
      <w:pPr>
        <w:spacing w:after="0" w:line="240" w:lineRule="auto"/>
        <w:ind w:firstLine="567"/>
        <w:jc w:val="both"/>
        <w:rPr>
          <w:rFonts w:ascii="Garamond" w:hAnsi="Garamond" w:cs="Times New Roman"/>
          <w:color w:val="000000" w:themeColor="text1"/>
          <w:sz w:val="24"/>
          <w:szCs w:val="24"/>
        </w:rPr>
      </w:pPr>
      <w:r w:rsidRPr="009A7E90">
        <w:rPr>
          <w:rFonts w:ascii="Garamond" w:hAnsi="Garamond" w:cs="Times New Roman"/>
          <w:sz w:val="24"/>
          <w:szCs w:val="24"/>
        </w:rPr>
        <w:t xml:space="preserve">Keenam profetik komunikasi rasul sangat urgen diterapkansebagai strategi berdakwah di era media baru. Al-Qur'an secara eviden menunjukkan keberhasilan rasul dalam berdakwah sehingga keenam etika ini patut dijadikan acuan dalam berdakwah. Adapun tugas dari seorang </w:t>
      </w:r>
      <w:r w:rsidRPr="009A7E90">
        <w:rPr>
          <w:rFonts w:ascii="Garamond" w:hAnsi="Garamond" w:cs="Times New Roman"/>
          <w:sz w:val="24"/>
          <w:szCs w:val="24"/>
        </w:rPr>
        <w:lastRenderedPageBreak/>
        <w:t>rasul hanyalah berdakwah dengan menyampaikan pesan sementara efek dari pesan dakwah tersebut terpulang kepada komunikan itu sendiri</w:t>
      </w:r>
    </w:p>
    <w:p w14:paraId="590DD890" w14:textId="77777777" w:rsidR="00993A76" w:rsidRPr="00E01F6E" w:rsidRDefault="00993A76" w:rsidP="00993A76">
      <w:pPr>
        <w:pStyle w:val="IlmuDakwah21HeadingPENDAHULUANdst"/>
        <w:rPr>
          <w:color w:val="000000" w:themeColor="text1"/>
          <w:lang w:val="id-ID"/>
        </w:rPr>
      </w:pPr>
      <w:r w:rsidRPr="00E01F6E">
        <w:rPr>
          <w:color w:val="000000" w:themeColor="text1"/>
          <w:lang w:val="id-ID"/>
        </w:rPr>
        <w:t xml:space="preserve">PENUTUP </w:t>
      </w:r>
    </w:p>
    <w:p w14:paraId="7829FD79" w14:textId="3EBD42B5" w:rsidR="000F4988" w:rsidRPr="000F4988" w:rsidRDefault="000F4988" w:rsidP="008E6071">
      <w:pPr>
        <w:spacing w:line="240" w:lineRule="auto"/>
        <w:ind w:firstLine="567"/>
        <w:jc w:val="both"/>
        <w:rPr>
          <w:rFonts w:ascii="Garamond" w:hAnsi="Garamond" w:cs="Times New Roman"/>
          <w:color w:val="000000" w:themeColor="text1"/>
          <w:sz w:val="24"/>
          <w:szCs w:val="24"/>
        </w:rPr>
      </w:pPr>
      <w:r w:rsidRPr="000F4988">
        <w:rPr>
          <w:rFonts w:ascii="Garamond" w:hAnsi="Garamond" w:cs="Times New Roman"/>
          <w:sz w:val="24"/>
          <w:szCs w:val="24"/>
        </w:rPr>
        <w:t xml:space="preserve">Strategi berdakwah para Rasul dalam Al-Qur'an merujuk kepada nilai-nilai etik yang terkandung dalam </w:t>
      </w:r>
      <w:r w:rsidRPr="000F4988">
        <w:rPr>
          <w:rFonts w:ascii="Garamond" w:hAnsi="Garamond" w:cs="Times New Roman"/>
          <w:i/>
          <w:sz w:val="24"/>
          <w:szCs w:val="24"/>
        </w:rPr>
        <w:t xml:space="preserve">Qaulan Sadiidan, Qaulan Balighan, Qaulan Masyuuran, Qaulan Layyinan, Qaulan Kariiman </w:t>
      </w:r>
      <w:r w:rsidRPr="000F4988">
        <w:rPr>
          <w:rFonts w:ascii="Garamond" w:hAnsi="Garamond" w:cs="Times New Roman"/>
          <w:sz w:val="24"/>
          <w:szCs w:val="24"/>
        </w:rPr>
        <w:t xml:space="preserve">dan </w:t>
      </w:r>
      <w:r w:rsidRPr="000F4988">
        <w:rPr>
          <w:rFonts w:ascii="Garamond" w:hAnsi="Garamond" w:cs="Times New Roman"/>
          <w:i/>
          <w:sz w:val="24"/>
          <w:szCs w:val="24"/>
        </w:rPr>
        <w:t>Qaulan Ma’ruufan</w:t>
      </w:r>
      <w:r w:rsidRPr="000F4988">
        <w:rPr>
          <w:rFonts w:ascii="Garamond" w:hAnsi="Garamond" w:cs="Times New Roman"/>
          <w:sz w:val="24"/>
          <w:szCs w:val="24"/>
        </w:rPr>
        <w:t>. Keenam etika ini sangat urgen diterapkan sebagai kunci kesuksesan berdakwah yang berujuk kepada pembenahan sosial dan pembentukan opini yang positif. Adapun problematika berdakwah pada media baru dewasa ini adalah pengabaikan keenak etika yang termaktub dalam Al-Qur'an. Penulis menyarankan kepada pemerintah agar mampu membuat regulasi tentang dakwah di media baru agar tidak ada lagi penyimpangan normatif akibat dakwah yang terlalu ekstrem.</w:t>
      </w:r>
    </w:p>
    <w:p w14:paraId="61B79B63" w14:textId="77777777" w:rsidR="00993A76" w:rsidRDefault="00993A76" w:rsidP="00993A76">
      <w:pPr>
        <w:pStyle w:val="IlmuDakwah21HeadingPENDAHULUANdst"/>
        <w:rPr>
          <w:color w:val="000000" w:themeColor="text1"/>
        </w:rPr>
      </w:pPr>
      <w:r w:rsidRPr="00E01F6E">
        <w:rPr>
          <w:color w:val="000000" w:themeColor="text1"/>
        </w:rPr>
        <w:t>DAFTAR PUSTAKA</w:t>
      </w:r>
    </w:p>
    <w:p w14:paraId="247F2D4F" w14:textId="77777777" w:rsid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b/>
          <w:sz w:val="24"/>
          <w:szCs w:val="24"/>
        </w:rPr>
        <w:fldChar w:fldCharType="begin" w:fldLock="1"/>
      </w:r>
      <w:r w:rsidRPr="00922C29">
        <w:rPr>
          <w:rFonts w:ascii="Garamond" w:hAnsi="Garamond" w:cs="Times New Roman"/>
          <w:b/>
          <w:sz w:val="24"/>
          <w:szCs w:val="24"/>
        </w:rPr>
        <w:instrText xml:space="preserve">ADDIN Mendeley Bibliography CSL_BIBLIOGRAPHY </w:instrText>
      </w:r>
      <w:r w:rsidRPr="00922C29">
        <w:rPr>
          <w:rFonts w:ascii="Garamond" w:hAnsi="Garamond" w:cs="Times New Roman"/>
          <w:b/>
          <w:sz w:val="24"/>
          <w:szCs w:val="24"/>
        </w:rPr>
        <w:fldChar w:fldCharType="separate"/>
      </w:r>
      <w:r w:rsidRPr="00922C29">
        <w:rPr>
          <w:rFonts w:ascii="Garamond" w:hAnsi="Garamond" w:cs="Times New Roman"/>
          <w:noProof/>
          <w:sz w:val="24"/>
          <w:szCs w:val="24"/>
        </w:rPr>
        <w:t>Anshari, F. (2013). Komunikasi Politik di Era Media Sosial Faridhian</w:t>
      </w:r>
    </w:p>
    <w:p w14:paraId="7F072758" w14:textId="28A030DC"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Anshari Staff Pengajar STT PLN Jakarta. </w:t>
      </w:r>
      <w:r w:rsidRPr="00922C29">
        <w:rPr>
          <w:rFonts w:ascii="Garamond" w:hAnsi="Garamond" w:cs="Times New Roman"/>
          <w:i/>
          <w:iCs/>
          <w:noProof/>
          <w:sz w:val="24"/>
          <w:szCs w:val="24"/>
        </w:rPr>
        <w:t>Jurnal Komunikasi</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8</w:t>
      </w:r>
      <w:r w:rsidRPr="00922C29">
        <w:rPr>
          <w:rFonts w:ascii="Garamond" w:hAnsi="Garamond" w:cs="Times New Roman"/>
          <w:noProof/>
          <w:sz w:val="24"/>
          <w:szCs w:val="24"/>
        </w:rPr>
        <w:t>(1), 91–102. http://dosen.univpancasila.ac.id/dosenfile/7014211002154994371612February2019.pdf</w:t>
      </w:r>
    </w:p>
    <w:p w14:paraId="507D61D7"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Ashari, M. (2019). Jurnalisme Digital: Dari Pengumpulan Informasi Sampai Penyebaran Pesan. </w:t>
      </w:r>
      <w:r w:rsidRPr="00922C29">
        <w:rPr>
          <w:rFonts w:ascii="Garamond" w:hAnsi="Garamond" w:cs="Times New Roman"/>
          <w:i/>
          <w:iCs/>
          <w:noProof/>
          <w:sz w:val="24"/>
          <w:szCs w:val="24"/>
        </w:rPr>
        <w:t>Inter Komunika</w:t>
      </w:r>
      <w:r w:rsidRPr="00922C29">
        <w:rPr>
          <w:rFonts w:ascii="Times New Roman" w:hAnsi="Times New Roman" w:cs="Times New Roman"/>
          <w:i/>
          <w:iCs/>
          <w:noProof/>
          <w:sz w:val="24"/>
          <w:szCs w:val="24"/>
        </w:rPr>
        <w:t> </w:t>
      </w:r>
      <w:r w:rsidRPr="00922C29">
        <w:rPr>
          <w:rFonts w:ascii="Garamond" w:hAnsi="Garamond" w:cs="Times New Roman"/>
          <w:i/>
          <w:iCs/>
          <w:noProof/>
          <w:sz w:val="24"/>
          <w:szCs w:val="24"/>
        </w:rPr>
        <w:t>: Jurnal Komunikasi</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4</w:t>
      </w:r>
      <w:r w:rsidRPr="00922C29">
        <w:rPr>
          <w:rFonts w:ascii="Garamond" w:hAnsi="Garamond" w:cs="Times New Roman"/>
          <w:noProof/>
          <w:sz w:val="24"/>
          <w:szCs w:val="24"/>
        </w:rPr>
        <w:t>(1), 1. https://doi.org/10.33376/ik.v4i1.286</w:t>
      </w:r>
    </w:p>
    <w:p w14:paraId="751F4D25"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Bittner, J. R. (1989). </w:t>
      </w:r>
      <w:r w:rsidRPr="00922C29">
        <w:rPr>
          <w:rFonts w:ascii="Garamond" w:hAnsi="Garamond" w:cs="Times New Roman"/>
          <w:i/>
          <w:iCs/>
          <w:noProof/>
          <w:sz w:val="24"/>
          <w:szCs w:val="24"/>
        </w:rPr>
        <w:t>Mass Communication, an Introduction</w:t>
      </w:r>
      <w:r w:rsidRPr="00922C29">
        <w:rPr>
          <w:rFonts w:ascii="Garamond" w:hAnsi="Garamond" w:cs="Times New Roman"/>
          <w:noProof/>
          <w:sz w:val="24"/>
          <w:szCs w:val="24"/>
        </w:rPr>
        <w:t>. Prentice Hall. https://books.google.co.id/books?id=K5XhAAAAMAAJ</w:t>
      </w:r>
    </w:p>
    <w:p w14:paraId="4CDF6EB0"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Budiman, H. (2017). Peran Teknologi Informasi Dan Komunikasi Dalam Pendidikan. </w:t>
      </w:r>
      <w:r w:rsidRPr="00922C29">
        <w:rPr>
          <w:rFonts w:ascii="Garamond" w:hAnsi="Garamond" w:cs="Times New Roman"/>
          <w:i/>
          <w:iCs/>
          <w:noProof/>
          <w:sz w:val="24"/>
          <w:szCs w:val="24"/>
        </w:rPr>
        <w:t>Al-Tadzkiyyah: Jurnal Pendidikan Islam</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8</w:t>
      </w:r>
      <w:r w:rsidRPr="00922C29">
        <w:rPr>
          <w:rFonts w:ascii="Garamond" w:hAnsi="Garamond" w:cs="Times New Roman"/>
          <w:noProof/>
          <w:sz w:val="24"/>
          <w:szCs w:val="24"/>
        </w:rPr>
        <w:t>(1), 31. https://doi.org/10.24042/atjpi.v8i1.2095</w:t>
      </w:r>
    </w:p>
    <w:p w14:paraId="32A645A8"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Chabibi, M. (2019). Hukum Tiga Tahap Auguste Comte dan Kontribusinya terhadap Kajian Sosiologi Dakwah. </w:t>
      </w:r>
      <w:r w:rsidRPr="00922C29">
        <w:rPr>
          <w:rFonts w:ascii="Garamond" w:hAnsi="Garamond" w:cs="Times New Roman"/>
          <w:i/>
          <w:iCs/>
          <w:noProof/>
          <w:sz w:val="24"/>
          <w:szCs w:val="24"/>
        </w:rPr>
        <w:t>NALAR: Jurnal Peradaban Dan Pemikiran Islam</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3</w:t>
      </w:r>
      <w:r w:rsidRPr="00922C29">
        <w:rPr>
          <w:rFonts w:ascii="Garamond" w:hAnsi="Garamond" w:cs="Times New Roman"/>
          <w:noProof/>
          <w:sz w:val="24"/>
          <w:szCs w:val="24"/>
        </w:rPr>
        <w:t>(1), 14–26. https://doi.org/10.23971/njppi.v3i1.1191</w:t>
      </w:r>
    </w:p>
    <w:p w14:paraId="2FCB1134"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Creswell, J. W. (2014). Research-Design-Creswell-Chapter-I.Pdf. In </w:t>
      </w:r>
      <w:r w:rsidRPr="00922C29">
        <w:rPr>
          <w:rFonts w:ascii="Garamond" w:hAnsi="Garamond" w:cs="Times New Roman"/>
          <w:i/>
          <w:iCs/>
          <w:noProof/>
          <w:sz w:val="24"/>
          <w:szCs w:val="24"/>
        </w:rPr>
        <w:t>Research Design</w:t>
      </w:r>
      <w:r w:rsidRPr="00922C29">
        <w:rPr>
          <w:rFonts w:ascii="Garamond" w:hAnsi="Garamond" w:cs="Times New Roman"/>
          <w:noProof/>
          <w:sz w:val="24"/>
          <w:szCs w:val="24"/>
        </w:rPr>
        <w:t>.</w:t>
      </w:r>
    </w:p>
    <w:p w14:paraId="1C5FC332"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Dewi, N. K., Irawan, B. H., Fitry, E., &amp; Putra, A. S. (2021). Konsep Aplikasi E-Dakwah Untuk Generasi Milenial Jakarta. </w:t>
      </w:r>
      <w:r w:rsidRPr="00922C29">
        <w:rPr>
          <w:rFonts w:ascii="Garamond" w:hAnsi="Garamond" w:cs="Times New Roman"/>
          <w:i/>
          <w:iCs/>
          <w:noProof/>
          <w:sz w:val="24"/>
          <w:szCs w:val="24"/>
        </w:rPr>
        <w:t>Jurnal IKRA-ITH Informatika</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5</w:t>
      </w:r>
      <w:r w:rsidRPr="00922C29">
        <w:rPr>
          <w:rFonts w:ascii="Garamond" w:hAnsi="Garamond" w:cs="Times New Roman"/>
          <w:noProof/>
          <w:sz w:val="24"/>
          <w:szCs w:val="24"/>
        </w:rPr>
        <w:t>(2), 26–33.</w:t>
      </w:r>
    </w:p>
    <w:p w14:paraId="20D01DB2"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lastRenderedPageBreak/>
        <w:t xml:space="preserve">Fitria, R., &amp; Aditia, R. (2019). Prospek dan Tantangan Dakwah Bil Qalam sebagai Metode Komunikasi Dakwah. </w:t>
      </w:r>
      <w:r w:rsidRPr="00922C29">
        <w:rPr>
          <w:rFonts w:ascii="Garamond" w:hAnsi="Garamond" w:cs="Times New Roman"/>
          <w:i/>
          <w:iCs/>
          <w:noProof/>
          <w:sz w:val="24"/>
          <w:szCs w:val="24"/>
        </w:rPr>
        <w:t>Jurnal Ilmiah Syi’ar</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19</w:t>
      </w:r>
      <w:r w:rsidRPr="00922C29">
        <w:rPr>
          <w:rFonts w:ascii="Garamond" w:hAnsi="Garamond" w:cs="Times New Roman"/>
          <w:noProof/>
          <w:sz w:val="24"/>
          <w:szCs w:val="24"/>
        </w:rPr>
        <w:t>(2), 224. https://doi.org/10.29300/syr.v19i2.2551</w:t>
      </w:r>
    </w:p>
    <w:p w14:paraId="6B1008E8"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Gerbner, G. (1958). On content analysis and critical research in mass communication. </w:t>
      </w:r>
      <w:r w:rsidRPr="00922C29">
        <w:rPr>
          <w:rFonts w:ascii="Garamond" w:hAnsi="Garamond" w:cs="Times New Roman"/>
          <w:i/>
          <w:iCs/>
          <w:noProof/>
          <w:sz w:val="24"/>
          <w:szCs w:val="24"/>
        </w:rPr>
        <w:t>Audiovisual Communication Review</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6</w:t>
      </w:r>
      <w:r w:rsidRPr="00922C29">
        <w:rPr>
          <w:rFonts w:ascii="Garamond" w:hAnsi="Garamond" w:cs="Times New Roman"/>
          <w:noProof/>
          <w:sz w:val="24"/>
          <w:szCs w:val="24"/>
        </w:rPr>
        <w:t>(3). https://doi.org/10.1007/BF02766931</w:t>
      </w:r>
    </w:p>
    <w:p w14:paraId="6132A4EA"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Ginting, R., Yulistiyono, A., Rauf, A., Manullang, S. O., Siahaan, A. L. S., Kussanti, D. P., S, T. E. A. P., Djaya, T. R., Ayu, A. S., Effendy, F., &amp; others. (2021). </w:t>
      </w:r>
      <w:r w:rsidRPr="00922C29">
        <w:rPr>
          <w:rFonts w:ascii="Garamond" w:hAnsi="Garamond" w:cs="Times New Roman"/>
          <w:i/>
          <w:iCs/>
          <w:noProof/>
          <w:sz w:val="24"/>
          <w:szCs w:val="24"/>
        </w:rPr>
        <w:t>Etika Komunikasi dalam Media Sosial</w:t>
      </w:r>
      <w:r w:rsidRPr="00922C29">
        <w:rPr>
          <w:rFonts w:ascii="Times New Roman" w:hAnsi="Times New Roman" w:cs="Times New Roman"/>
          <w:i/>
          <w:iCs/>
          <w:noProof/>
          <w:sz w:val="24"/>
          <w:szCs w:val="24"/>
        </w:rPr>
        <w:t> </w:t>
      </w:r>
      <w:r w:rsidRPr="00922C29">
        <w:rPr>
          <w:rFonts w:ascii="Garamond" w:hAnsi="Garamond" w:cs="Times New Roman"/>
          <w:i/>
          <w:iCs/>
          <w:noProof/>
          <w:sz w:val="24"/>
          <w:szCs w:val="24"/>
        </w:rPr>
        <w:t>: Saring Sebelum Sharing</w:t>
      </w:r>
      <w:r w:rsidRPr="00922C29">
        <w:rPr>
          <w:rFonts w:ascii="Garamond" w:hAnsi="Garamond" w:cs="Times New Roman"/>
          <w:noProof/>
          <w:sz w:val="24"/>
          <w:szCs w:val="24"/>
        </w:rPr>
        <w:t>. Penerbit Insania. https://books.google.co.id/books?id=DUIyEAAAQBAJ</w:t>
      </w:r>
    </w:p>
    <w:p w14:paraId="6EED8FEE"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Kurniawan, D. (2018). Komunikasi Model Laswell Dan Stimulus-Organism-Response Dalam Mewujudkan Pembelajaran Menyenangkan. </w:t>
      </w:r>
      <w:r w:rsidRPr="00922C29">
        <w:rPr>
          <w:rFonts w:ascii="Garamond" w:hAnsi="Garamond" w:cs="Times New Roman"/>
          <w:i/>
          <w:iCs/>
          <w:noProof/>
          <w:sz w:val="24"/>
          <w:szCs w:val="24"/>
        </w:rPr>
        <w:t>Jurnal Komunikasi Pendidikan</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2</w:t>
      </w:r>
      <w:r w:rsidRPr="00922C29">
        <w:rPr>
          <w:rFonts w:ascii="Garamond" w:hAnsi="Garamond" w:cs="Times New Roman"/>
          <w:noProof/>
          <w:sz w:val="24"/>
          <w:szCs w:val="24"/>
        </w:rPr>
        <w:t>(1), 60. https://doi.org/10.32585/jkp.v2i1.65</w:t>
      </w:r>
    </w:p>
    <w:p w14:paraId="2AB77F05"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Lasswell, H. D. (2006). </w:t>
      </w:r>
      <w:r w:rsidRPr="00922C29">
        <w:rPr>
          <w:rFonts w:ascii="Garamond" w:hAnsi="Garamond" w:cs="Times New Roman"/>
          <w:i/>
          <w:iCs/>
          <w:noProof/>
          <w:sz w:val="24"/>
          <w:szCs w:val="24"/>
        </w:rPr>
        <w:t>The Structure and Function of Communication in Society</w:t>
      </w:r>
      <w:r w:rsidRPr="00922C29">
        <w:rPr>
          <w:rFonts w:ascii="Garamond" w:hAnsi="Garamond" w:cs="Times New Roman"/>
          <w:noProof/>
          <w:sz w:val="24"/>
          <w:szCs w:val="24"/>
        </w:rPr>
        <w:t>. https://books.google.co.id/books?id=UsRsMwEACAAJ</w:t>
      </w:r>
    </w:p>
    <w:p w14:paraId="5C90A979"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Mastori, &amp; Islamy, A. (2021). Menggagas Etika Dakwah Di Ruang Media Sosial. </w:t>
      </w:r>
      <w:r w:rsidRPr="00922C29">
        <w:rPr>
          <w:rFonts w:ascii="Garamond" w:hAnsi="Garamond" w:cs="Times New Roman"/>
          <w:i/>
          <w:iCs/>
          <w:noProof/>
          <w:sz w:val="24"/>
          <w:szCs w:val="24"/>
        </w:rPr>
        <w:t>KOMUNIKASIA Journal of Islamic Communication &amp; Broadcasting</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w:t>
      </w:r>
      <w:r w:rsidRPr="00922C29">
        <w:rPr>
          <w:rFonts w:ascii="Garamond" w:hAnsi="Garamond" w:cs="Times New Roman"/>
          <w:noProof/>
          <w:sz w:val="24"/>
          <w:szCs w:val="24"/>
        </w:rPr>
        <w:t>(1), 1–18.</w:t>
      </w:r>
    </w:p>
    <w:p w14:paraId="34C26BD0"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Mulyana, D. (2007). Ilmu Komunikasi: Suatu Pengantar. Cetakan ke 18. In </w:t>
      </w:r>
      <w:r w:rsidRPr="00922C29">
        <w:rPr>
          <w:rFonts w:ascii="Garamond" w:hAnsi="Garamond" w:cs="Times New Roman"/>
          <w:i/>
          <w:iCs/>
          <w:noProof/>
          <w:sz w:val="24"/>
          <w:szCs w:val="24"/>
        </w:rPr>
        <w:t>Bandung: PT Remaja Rosdakarya</w:t>
      </w:r>
      <w:r w:rsidRPr="00922C29">
        <w:rPr>
          <w:rFonts w:ascii="Garamond" w:hAnsi="Garamond" w:cs="Times New Roman"/>
          <w:noProof/>
          <w:sz w:val="24"/>
          <w:szCs w:val="24"/>
        </w:rPr>
        <w:t>.</w:t>
      </w:r>
    </w:p>
    <w:p w14:paraId="21AED0C6"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Nasional, D. P. (2008). Kamus Besar Bahasa Indonesia Edisi Keempat. In </w:t>
      </w:r>
      <w:r w:rsidRPr="00922C29">
        <w:rPr>
          <w:rFonts w:ascii="Garamond" w:hAnsi="Garamond" w:cs="Times New Roman"/>
          <w:i/>
          <w:iCs/>
          <w:noProof/>
          <w:sz w:val="24"/>
          <w:szCs w:val="24"/>
        </w:rPr>
        <w:t>PT. Gramedia Pustaka Utama</w:t>
      </w:r>
      <w:r w:rsidRPr="00922C29">
        <w:rPr>
          <w:rFonts w:ascii="Garamond" w:hAnsi="Garamond" w:cs="Times New Roman"/>
          <w:noProof/>
          <w:sz w:val="24"/>
          <w:szCs w:val="24"/>
        </w:rPr>
        <w:t xml:space="preserve"> (Vol. 4, Issue 3).</w:t>
      </w:r>
    </w:p>
    <w:p w14:paraId="4A8BF6F9"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Newcomb, T. M. (1953). An approach to the study of communicative acts. </w:t>
      </w:r>
      <w:r w:rsidRPr="00922C29">
        <w:rPr>
          <w:rFonts w:ascii="Garamond" w:hAnsi="Garamond" w:cs="Times New Roman"/>
          <w:i/>
          <w:iCs/>
          <w:noProof/>
          <w:sz w:val="24"/>
          <w:szCs w:val="24"/>
        </w:rPr>
        <w:t>Psychological Review</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60</w:t>
      </w:r>
      <w:r w:rsidRPr="00922C29">
        <w:rPr>
          <w:rFonts w:ascii="Garamond" w:hAnsi="Garamond" w:cs="Times New Roman"/>
          <w:noProof/>
          <w:sz w:val="24"/>
          <w:szCs w:val="24"/>
        </w:rPr>
        <w:t>(6). https://doi.org/10.1037/h0063098</w:t>
      </w:r>
    </w:p>
    <w:p w14:paraId="768E8D63"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Nurhadi, Z. F., &amp; Kurniawan, A. W. (2017). Jurnal Komunikasi Hasil Pemikiran dan Penelitian. </w:t>
      </w:r>
      <w:r w:rsidRPr="00922C29">
        <w:rPr>
          <w:rFonts w:ascii="Garamond" w:hAnsi="Garamond" w:cs="Times New Roman"/>
          <w:i/>
          <w:iCs/>
          <w:noProof/>
          <w:sz w:val="24"/>
          <w:szCs w:val="24"/>
        </w:rPr>
        <w:t>Jurnal Komunikasi Hasil Pemikiran Dan Penelitian</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3</w:t>
      </w:r>
      <w:r w:rsidRPr="00922C29">
        <w:rPr>
          <w:rFonts w:ascii="Garamond" w:hAnsi="Garamond" w:cs="Times New Roman"/>
          <w:noProof/>
          <w:sz w:val="24"/>
          <w:szCs w:val="24"/>
        </w:rPr>
        <w:t>(1), 90–95.</w:t>
      </w:r>
    </w:p>
    <w:p w14:paraId="55D3147C"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Puspita, S. (n.d.). Komunikator Publik di Negara Demokrasi. </w:t>
      </w:r>
      <w:r w:rsidRPr="00922C29">
        <w:rPr>
          <w:rFonts w:ascii="Garamond" w:hAnsi="Garamond" w:cs="Times New Roman"/>
          <w:i/>
          <w:iCs/>
          <w:noProof/>
          <w:sz w:val="24"/>
          <w:szCs w:val="24"/>
        </w:rPr>
        <w:t>Political Economy in the Evolution of China’s Urban–Rural Economic Relations</w:t>
      </w:r>
      <w:r w:rsidRPr="00922C29">
        <w:rPr>
          <w:rFonts w:ascii="Garamond" w:hAnsi="Garamond" w:cs="Times New Roman"/>
          <w:noProof/>
          <w:sz w:val="24"/>
          <w:szCs w:val="24"/>
        </w:rPr>
        <w:t>, 22–41. https://doi.org/10.4324/9781003185857-2</w:t>
      </w:r>
    </w:p>
    <w:p w14:paraId="1DC5CD43"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Rokhim, M. N., Septiasih, A., Triana, D. E., Nivaga, P. S., &amp; Janah, M. U. (2022). Metafora Konseptual Lima Jari dalam Sastra Jawa: Analisis Semantik Kognitif. </w:t>
      </w:r>
      <w:r w:rsidRPr="00922C29">
        <w:rPr>
          <w:rFonts w:ascii="Garamond" w:hAnsi="Garamond" w:cs="Times New Roman"/>
          <w:i/>
          <w:iCs/>
          <w:noProof/>
          <w:sz w:val="24"/>
          <w:szCs w:val="24"/>
        </w:rPr>
        <w:t>Sutasoma</w:t>
      </w:r>
      <w:r w:rsidRPr="00922C29">
        <w:rPr>
          <w:rFonts w:ascii="Times New Roman" w:hAnsi="Times New Roman" w:cs="Times New Roman"/>
          <w:i/>
          <w:iCs/>
          <w:noProof/>
          <w:sz w:val="24"/>
          <w:szCs w:val="24"/>
        </w:rPr>
        <w:t> </w:t>
      </w:r>
      <w:r w:rsidRPr="00922C29">
        <w:rPr>
          <w:rFonts w:ascii="Garamond" w:hAnsi="Garamond" w:cs="Times New Roman"/>
          <w:i/>
          <w:iCs/>
          <w:noProof/>
          <w:sz w:val="24"/>
          <w:szCs w:val="24"/>
        </w:rPr>
        <w:t>: Jurnal Sastra Jawa</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10</w:t>
      </w:r>
      <w:r w:rsidRPr="00922C29">
        <w:rPr>
          <w:rFonts w:ascii="Garamond" w:hAnsi="Garamond" w:cs="Times New Roman"/>
          <w:noProof/>
          <w:sz w:val="24"/>
          <w:szCs w:val="24"/>
        </w:rPr>
        <w:t>(1), 10–21. https://doi.org/10.15294/sutasoma.v10i1.52868</w:t>
      </w:r>
    </w:p>
    <w:p w14:paraId="4860529D"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Sari, A. F. (2021). Kendala dan Efek Komunikasi dalam Perkuliahan </w:t>
      </w:r>
      <w:r w:rsidRPr="00922C29">
        <w:rPr>
          <w:rFonts w:ascii="Garamond" w:hAnsi="Garamond" w:cs="Times New Roman"/>
          <w:noProof/>
          <w:sz w:val="24"/>
          <w:szCs w:val="24"/>
        </w:rPr>
        <w:lastRenderedPageBreak/>
        <w:t xml:space="preserve">Online Di Masa Pandemi Covid-19. </w:t>
      </w:r>
      <w:r w:rsidRPr="00922C29">
        <w:rPr>
          <w:rFonts w:ascii="Garamond" w:hAnsi="Garamond" w:cs="Times New Roman"/>
          <w:i/>
          <w:iCs/>
          <w:noProof/>
          <w:sz w:val="24"/>
          <w:szCs w:val="24"/>
        </w:rPr>
        <w:t>Jurnal Informatika Dan Teknologi Pendidikan</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2</w:t>
      </w:r>
      <w:r w:rsidRPr="00922C29">
        <w:rPr>
          <w:rFonts w:ascii="Garamond" w:hAnsi="Garamond" w:cs="Times New Roman"/>
          <w:noProof/>
          <w:sz w:val="24"/>
          <w:szCs w:val="24"/>
        </w:rPr>
        <w:t>(1), 13–22.</w:t>
      </w:r>
    </w:p>
    <w:p w14:paraId="324E319E"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Shannon, C. E., E, S. C., Weaver, W., of Illinois (Urbana-Champaign). Press, U., Blahut, R. E., &amp; Hajek, B. (1949). </w:t>
      </w:r>
      <w:r w:rsidRPr="00922C29">
        <w:rPr>
          <w:rFonts w:ascii="Garamond" w:hAnsi="Garamond" w:cs="Times New Roman"/>
          <w:i/>
          <w:iCs/>
          <w:noProof/>
          <w:sz w:val="24"/>
          <w:szCs w:val="24"/>
        </w:rPr>
        <w:t>The Mathematical Theory of Communication</w:t>
      </w:r>
      <w:r w:rsidRPr="00922C29">
        <w:rPr>
          <w:rFonts w:ascii="Garamond" w:hAnsi="Garamond" w:cs="Times New Roman"/>
          <w:noProof/>
          <w:sz w:val="24"/>
          <w:szCs w:val="24"/>
        </w:rPr>
        <w:t xml:space="preserve"> (Issue v. 1). University of Illinois Press. https://books.google.co.id/books?id=dk0n%5C_eGcqsUC</w:t>
      </w:r>
    </w:p>
    <w:p w14:paraId="7CD25967"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Sugiyono. (2014). </w:t>
      </w:r>
      <w:r w:rsidRPr="00922C29">
        <w:rPr>
          <w:rFonts w:ascii="Garamond" w:hAnsi="Garamond" w:cs="Times New Roman"/>
          <w:i/>
          <w:iCs/>
          <w:noProof/>
          <w:sz w:val="24"/>
          <w:szCs w:val="24"/>
        </w:rPr>
        <w:t>Metodologi Penelitian Kuantitatif, Kualitatif dan R &amp; D</w:t>
      </w:r>
      <w:r w:rsidRPr="00922C29">
        <w:rPr>
          <w:rFonts w:ascii="Garamond" w:hAnsi="Garamond" w:cs="Times New Roman"/>
          <w:noProof/>
          <w:sz w:val="24"/>
          <w:szCs w:val="24"/>
        </w:rPr>
        <w:t>.</w:t>
      </w:r>
    </w:p>
    <w:p w14:paraId="2CBCD0E9"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Sunarko, A. (2008). Kamus Besar Bahasa Indonesia. </w:t>
      </w:r>
      <w:r w:rsidRPr="00922C29">
        <w:rPr>
          <w:rFonts w:ascii="Garamond" w:hAnsi="Garamond" w:cs="Times New Roman"/>
          <w:i/>
          <w:iCs/>
          <w:noProof/>
          <w:sz w:val="24"/>
          <w:szCs w:val="24"/>
        </w:rPr>
        <w:t>Jurnal Pendidikan Agama Kristen</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w:t>
      </w:r>
      <w:r w:rsidRPr="00922C29">
        <w:rPr>
          <w:rFonts w:ascii="Garamond" w:hAnsi="Garamond" w:cs="Times New Roman"/>
          <w:noProof/>
          <w:sz w:val="24"/>
          <w:szCs w:val="24"/>
        </w:rPr>
        <w:t>(1), 5000. http://sttikat.ac.id/e-journal/index.php/sikip</w:t>
      </w:r>
    </w:p>
    <w:p w14:paraId="62A7444C"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Syatar, A., Amiruddin, M. M., Haq, I., &amp; Rahman, A. (2020). Darurat Moderasi Beragama di Tengah Pandemi Corona Virus Disease 2019 (Covid-19). </w:t>
      </w:r>
      <w:r w:rsidRPr="00922C29">
        <w:rPr>
          <w:rFonts w:ascii="Garamond" w:hAnsi="Garamond" w:cs="Times New Roman"/>
          <w:i/>
          <w:iCs/>
          <w:noProof/>
          <w:sz w:val="24"/>
          <w:szCs w:val="24"/>
        </w:rPr>
        <w:t>KURIOSITAS: Media Komunikasi Sosial Dan Keagamaan</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13</w:t>
      </w:r>
      <w:r w:rsidRPr="00922C29">
        <w:rPr>
          <w:rFonts w:ascii="Garamond" w:hAnsi="Garamond" w:cs="Times New Roman"/>
          <w:noProof/>
          <w:sz w:val="24"/>
          <w:szCs w:val="24"/>
        </w:rPr>
        <w:t>(1), 1–13.</w:t>
      </w:r>
    </w:p>
    <w:p w14:paraId="45F406A7"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Tatipang, R. A. (2013). FENOMENA PELANGGARAN KODE ETIK JURNALISTIK PASAL 12 TAHUN 2008 DI MEDIA ONLINEMANADO POST. </w:t>
      </w:r>
      <w:r w:rsidRPr="00922C29">
        <w:rPr>
          <w:rFonts w:ascii="Garamond" w:hAnsi="Garamond" w:cs="Times New Roman"/>
          <w:i/>
          <w:iCs/>
          <w:noProof/>
          <w:sz w:val="24"/>
          <w:szCs w:val="24"/>
        </w:rPr>
        <w:t>Acta Diurna Komunikasi</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II</w:t>
      </w:r>
      <w:r w:rsidRPr="00922C29">
        <w:rPr>
          <w:rFonts w:ascii="Garamond" w:hAnsi="Garamond" w:cs="Times New Roman"/>
          <w:noProof/>
          <w:sz w:val="24"/>
          <w:szCs w:val="24"/>
        </w:rPr>
        <w:t>(4).</w:t>
      </w:r>
    </w:p>
    <w:p w14:paraId="3DB015DA"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Usman, F. (2016). Efektivitas Penggunaan Media Online Sebagai Sarana Dakwah. </w:t>
      </w:r>
      <w:r w:rsidRPr="00922C29">
        <w:rPr>
          <w:rFonts w:ascii="Garamond" w:hAnsi="Garamond" w:cs="Times New Roman"/>
          <w:i/>
          <w:iCs/>
          <w:noProof/>
          <w:sz w:val="24"/>
          <w:szCs w:val="24"/>
        </w:rPr>
        <w:t>Jurnal Ekonomi Dan Dakwah Islam (Al-Tsiqoh)</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1</w:t>
      </w:r>
      <w:r w:rsidRPr="00922C29">
        <w:rPr>
          <w:rFonts w:ascii="Garamond" w:hAnsi="Garamond" w:cs="Times New Roman"/>
          <w:noProof/>
          <w:sz w:val="24"/>
          <w:szCs w:val="24"/>
        </w:rPr>
        <w:t>(1), 1–8.</w:t>
      </w:r>
    </w:p>
    <w:p w14:paraId="2743163A"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Weber, M. (2017). Methodology of social sciences. In </w:t>
      </w:r>
      <w:r w:rsidRPr="00922C29">
        <w:rPr>
          <w:rFonts w:ascii="Garamond" w:hAnsi="Garamond" w:cs="Times New Roman"/>
          <w:i/>
          <w:iCs/>
          <w:noProof/>
          <w:sz w:val="24"/>
          <w:szCs w:val="24"/>
        </w:rPr>
        <w:t>Methodology of Social Sciences</w:t>
      </w:r>
      <w:r w:rsidRPr="00922C29">
        <w:rPr>
          <w:rFonts w:ascii="Garamond" w:hAnsi="Garamond" w:cs="Times New Roman"/>
          <w:noProof/>
          <w:sz w:val="24"/>
          <w:szCs w:val="24"/>
        </w:rPr>
        <w:t>. https://doi.org/10.4324/9781315124445</w:t>
      </w:r>
    </w:p>
    <w:p w14:paraId="53B8743A" w14:textId="77777777" w:rsidR="00922C29" w:rsidRPr="00922C29" w:rsidRDefault="00922C29" w:rsidP="00922C29">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922C29">
        <w:rPr>
          <w:rFonts w:ascii="Garamond" w:hAnsi="Garamond" w:cs="Times New Roman"/>
          <w:noProof/>
          <w:sz w:val="24"/>
          <w:szCs w:val="24"/>
        </w:rPr>
        <w:t xml:space="preserve">Zaini, A. (2017). Dakwah dan Pemberdayaan Masyarakat Perdesaan. </w:t>
      </w:r>
      <w:r w:rsidRPr="00922C29">
        <w:rPr>
          <w:rFonts w:ascii="Garamond" w:hAnsi="Garamond" w:cs="Times New Roman"/>
          <w:i/>
          <w:iCs/>
          <w:noProof/>
          <w:sz w:val="24"/>
          <w:szCs w:val="24"/>
        </w:rPr>
        <w:t>Jurnal Ilmu Dakwah</w:t>
      </w:r>
      <w:r w:rsidRPr="00922C29">
        <w:rPr>
          <w:rFonts w:ascii="Garamond" w:hAnsi="Garamond" w:cs="Times New Roman"/>
          <w:noProof/>
          <w:sz w:val="24"/>
          <w:szCs w:val="24"/>
        </w:rPr>
        <w:t xml:space="preserve">, </w:t>
      </w:r>
      <w:r w:rsidRPr="00922C29">
        <w:rPr>
          <w:rFonts w:ascii="Garamond" w:hAnsi="Garamond" w:cs="Times New Roman"/>
          <w:i/>
          <w:iCs/>
          <w:noProof/>
          <w:sz w:val="24"/>
          <w:szCs w:val="24"/>
        </w:rPr>
        <w:t>37</w:t>
      </w:r>
      <w:r w:rsidRPr="00922C29">
        <w:rPr>
          <w:rFonts w:ascii="Garamond" w:hAnsi="Garamond" w:cs="Times New Roman"/>
          <w:noProof/>
          <w:sz w:val="24"/>
          <w:szCs w:val="24"/>
        </w:rPr>
        <w:t>(2), 284–301. https://journal.walisongo.ac.id/index.php/dakwah/article/view/2708</w:t>
      </w:r>
    </w:p>
    <w:p w14:paraId="0E2E0475" w14:textId="664FC802" w:rsidR="00646D4B" w:rsidRPr="00646D4B" w:rsidRDefault="00922C29" w:rsidP="00922C29">
      <w:pPr>
        <w:widowControl w:val="0"/>
        <w:autoSpaceDE w:val="0"/>
        <w:autoSpaceDN w:val="0"/>
        <w:adjustRightInd w:val="0"/>
        <w:spacing w:after="0" w:line="240" w:lineRule="auto"/>
        <w:ind w:left="480" w:hanging="480"/>
        <w:jc w:val="both"/>
        <w:rPr>
          <w:color w:val="000000" w:themeColor="text1"/>
        </w:rPr>
      </w:pPr>
      <w:r w:rsidRPr="00922C29">
        <w:rPr>
          <w:rFonts w:ascii="Garamond" w:hAnsi="Garamond" w:cs="Times New Roman"/>
          <w:b/>
          <w:sz w:val="24"/>
          <w:szCs w:val="24"/>
        </w:rPr>
        <w:fldChar w:fldCharType="end"/>
      </w:r>
    </w:p>
    <w:sectPr w:rsidR="00646D4B" w:rsidRPr="00646D4B" w:rsidSect="008E50EE">
      <w:headerReference w:type="even" r:id="rId10"/>
      <w:headerReference w:type="default" r:id="rId11"/>
      <w:footerReference w:type="even" r:id="rId12"/>
      <w:footerReference w:type="default" r:id="rId13"/>
      <w:footerReference w:type="first" r:id="rId14"/>
      <w:type w:val="continuous"/>
      <w:pgSz w:w="10319" w:h="14572" w:code="13"/>
      <w:pgMar w:top="2098" w:right="1758" w:bottom="2098" w:left="1701" w:header="1134" w:footer="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9625" w14:textId="77777777" w:rsidR="004E4C7B" w:rsidRDefault="004E4C7B" w:rsidP="003875A2">
      <w:pPr>
        <w:spacing w:after="0" w:line="240" w:lineRule="auto"/>
      </w:pPr>
      <w:r>
        <w:separator/>
      </w:r>
    </w:p>
  </w:endnote>
  <w:endnote w:type="continuationSeparator" w:id="0">
    <w:p w14:paraId="59928BFD" w14:textId="77777777" w:rsidR="004E4C7B" w:rsidRDefault="004E4C7B"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 xml:space="preserve">AL-BALAGH: </w:t>
          </w:r>
          <w:proofErr w:type="spellStart"/>
          <w:r w:rsidRPr="00A26B51">
            <w:rPr>
              <w:rFonts w:ascii="Garamond" w:hAnsi="Garamond"/>
              <w:b w:val="0"/>
              <w:bCs w:val="0"/>
              <w:color w:val="111111"/>
              <w:sz w:val="18"/>
              <w:szCs w:val="18"/>
            </w:rPr>
            <w:t>Jurnal</w:t>
          </w:r>
          <w:proofErr w:type="spellEnd"/>
          <w:r w:rsidRPr="00A26B51">
            <w:rPr>
              <w:rFonts w:ascii="Garamond" w:hAnsi="Garamond"/>
              <w:b w:val="0"/>
              <w:bCs w:val="0"/>
              <w:color w:val="111111"/>
              <w:sz w:val="18"/>
              <w:szCs w:val="18"/>
            </w:rPr>
            <w:t xml:space="preserve"> </w:t>
          </w:r>
          <w:proofErr w:type="spellStart"/>
          <w:r w:rsidRPr="00A26B51">
            <w:rPr>
              <w:rFonts w:ascii="Garamond" w:hAnsi="Garamond"/>
              <w:b w:val="0"/>
              <w:bCs w:val="0"/>
              <w:color w:val="111111"/>
              <w:sz w:val="18"/>
              <w:szCs w:val="18"/>
            </w:rPr>
            <w:t>Komunikasi</w:t>
          </w:r>
          <w:proofErr w:type="spellEnd"/>
          <w:r w:rsidRPr="00A26B51">
            <w:rPr>
              <w:rFonts w:ascii="Garamond" w:hAnsi="Garamond"/>
              <w:b w:val="0"/>
              <w:bCs w:val="0"/>
              <w:color w:val="111111"/>
              <w:sz w:val="18"/>
              <w:szCs w:val="18"/>
            </w:rPr>
            <w:t xml:space="preserve">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w:t>
          </w:r>
          <w:proofErr w:type="spellStart"/>
          <w:r w:rsidRPr="00A26B51">
            <w:rPr>
              <w:rFonts w:ascii="Garamond" w:hAnsi="Garamond"/>
              <w:color w:val="000000" w:themeColor="text1"/>
              <w:sz w:val="18"/>
              <w:szCs w:val="18"/>
              <w:lang w:val="en-US"/>
            </w:rPr>
            <w:t>xxxx</w:t>
          </w:r>
          <w:proofErr w:type="spellEnd"/>
          <w:r w:rsidRPr="00A26B51">
            <w:rPr>
              <w:rFonts w:ascii="Garamond" w:hAnsi="Garamond"/>
              <w:color w:val="000000" w:themeColor="text1"/>
              <w:sz w:val="18"/>
              <w:szCs w:val="18"/>
              <w:lang w:val="en-US"/>
            </w:rPr>
            <w:t>)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 xml:space="preserve">AL-BALAGH: </w:t>
          </w:r>
          <w:r w:rsidRPr="008B24C9">
            <w:rPr>
              <w:rFonts w:ascii="Garamond" w:hAnsi="Garamond"/>
              <w:b/>
              <w:bCs/>
              <w:color w:val="111111"/>
              <w:sz w:val="16"/>
              <w:szCs w:val="16"/>
            </w:rPr>
            <w:t>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proofErr w:type="spellStart"/>
          <w:r w:rsidR="008B24C9" w:rsidRPr="008B24C9">
            <w:rPr>
              <w:rFonts w:ascii="Garamond" w:hAnsi="Garamond"/>
              <w:b/>
              <w:bCs/>
              <w:color w:val="000000" w:themeColor="text1"/>
              <w:sz w:val="16"/>
              <w:szCs w:val="16"/>
              <w:lang w:val="en-US"/>
            </w:rPr>
            <w:t>ume</w:t>
          </w:r>
          <w:proofErr w:type="spellEnd"/>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w:t>
          </w:r>
          <w:proofErr w:type="spellStart"/>
          <w:r w:rsidR="008B24C9" w:rsidRPr="008B24C9">
            <w:rPr>
              <w:rFonts w:ascii="Garamond" w:hAnsi="Garamond"/>
              <w:b/>
              <w:bCs/>
              <w:color w:val="000000" w:themeColor="text1"/>
              <w:sz w:val="16"/>
              <w:szCs w:val="16"/>
              <w:lang w:val="en-US"/>
            </w:rPr>
            <w:t>Tahun</w:t>
          </w:r>
          <w:proofErr w:type="spellEnd"/>
          <w:r w:rsidR="008B24C9" w:rsidRPr="008B24C9">
            <w:rPr>
              <w:rFonts w:ascii="Garamond" w:hAnsi="Garamond"/>
              <w:b/>
              <w:bCs/>
              <w:color w:val="000000" w:themeColor="text1"/>
              <w:sz w:val="16"/>
              <w:szCs w:val="16"/>
              <w:lang w:val="en-US"/>
            </w:rPr>
            <w:t xml:space="preserve">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777777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8B24C9">
      <w:trPr>
        <w:trHeight w:val="297"/>
      </w:trPr>
      <w:tc>
        <w:tcPr>
          <w:tcW w:w="6768" w:type="dxa"/>
        </w:tcPr>
        <w:p w14:paraId="0D63DE39" w14:textId="56AB35C4"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2DFB415B">
                    <wp:simplePos x="0" y="0"/>
                    <wp:positionH relativeFrom="column">
                      <wp:posOffset>2345641</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A38821"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7pt,1.55pt" to="18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proofErr w:type="spellStart"/>
          <w:r w:rsidR="00F33F8F">
            <w:rPr>
              <w:rFonts w:ascii="Garamond" w:hAnsi="Garamond"/>
              <w:sz w:val="20"/>
              <w:szCs w:val="20"/>
              <w:lang w:val="en-US"/>
            </w:rPr>
            <w:t>Erwan</w:t>
          </w:r>
          <w:proofErr w:type="spellEnd"/>
          <w:r w:rsidR="00F33F8F">
            <w:rPr>
              <w:rFonts w:ascii="Garamond" w:hAnsi="Garamond"/>
              <w:sz w:val="20"/>
              <w:szCs w:val="20"/>
              <w:lang w:val="en-US"/>
            </w:rPr>
            <w:t xml:space="preserve"> Efendi, </w:t>
          </w:r>
          <w:proofErr w:type="spellStart"/>
          <w:r w:rsidR="00F33F8F">
            <w:rPr>
              <w:rFonts w:ascii="Garamond" w:hAnsi="Garamond"/>
              <w:sz w:val="20"/>
              <w:szCs w:val="20"/>
              <w:lang w:val="en-US"/>
            </w:rPr>
            <w:t>Ardhian</w:t>
          </w:r>
          <w:proofErr w:type="spellEnd"/>
          <w:r w:rsidR="00F33F8F">
            <w:rPr>
              <w:rFonts w:ascii="Garamond" w:hAnsi="Garamond"/>
              <w:sz w:val="20"/>
              <w:szCs w:val="20"/>
              <w:lang w:val="en-US"/>
            </w:rPr>
            <w:t xml:space="preserve"> Hasyim </w:t>
          </w:r>
          <w:proofErr w:type="spellStart"/>
          <w:r w:rsidR="00F33F8F">
            <w:rPr>
              <w:rFonts w:ascii="Garamond" w:hAnsi="Garamond"/>
              <w:sz w:val="20"/>
              <w:szCs w:val="20"/>
              <w:lang w:val="en-US"/>
            </w:rPr>
            <w:t>Fadhillah</w:t>
          </w:r>
          <w:proofErr w:type="spellEnd"/>
          <w:r w:rsidR="00F33F8F">
            <w:rPr>
              <w:rFonts w:ascii="Garamond" w:hAnsi="Garamond"/>
              <w:sz w:val="20"/>
              <w:szCs w:val="20"/>
              <w:lang w:val="en-US"/>
            </w:rPr>
            <w:t xml:space="preserve">, </w:t>
          </w:r>
          <w:proofErr w:type="spellStart"/>
          <w:r w:rsidR="00F33F8F">
            <w:rPr>
              <w:rFonts w:ascii="Garamond" w:hAnsi="Garamond"/>
              <w:sz w:val="20"/>
              <w:szCs w:val="20"/>
              <w:lang w:val="en-US"/>
            </w:rPr>
            <w:t>dkk</w:t>
          </w:r>
          <w:proofErr w:type="spellEnd"/>
          <w:r w:rsidRPr="001A34B7">
            <w:rPr>
              <w:rFonts w:ascii="Garamond" w:hAnsi="Garamond"/>
              <w:bCs/>
              <w:sz w:val="20"/>
              <w:szCs w:val="20"/>
              <w:lang w:val="en-US"/>
            </w:rPr>
            <w:t xml:space="preserve"> </w:t>
          </w:r>
        </w:p>
        <w:p w14:paraId="1AE0863C" w14:textId="2D19F636" w:rsidR="001360C5" w:rsidRPr="00F33F8F" w:rsidRDefault="00F33F8F" w:rsidP="00A5273B">
          <w:pPr>
            <w:spacing w:after="0" w:line="240" w:lineRule="auto"/>
            <w:jc w:val="both"/>
            <w:rPr>
              <w:rFonts w:ascii="Garamond" w:hAnsi="Garamond"/>
            </w:rPr>
          </w:pPr>
          <w:r>
            <w:rPr>
              <w:rFonts w:ascii="Garamond" w:hAnsi="Garamond"/>
              <w:sz w:val="20"/>
              <w:szCs w:val="20"/>
              <w:lang w:val="en-US"/>
            </w:rPr>
            <w:t xml:space="preserve">Komunikasi </w:t>
          </w:r>
          <w:proofErr w:type="spellStart"/>
          <w:r>
            <w:rPr>
              <w:rFonts w:ascii="Garamond" w:hAnsi="Garamond"/>
              <w:sz w:val="20"/>
              <w:szCs w:val="20"/>
              <w:lang w:val="en-US"/>
            </w:rPr>
            <w:t>Profetik</w:t>
          </w:r>
          <w:proofErr w:type="spellEnd"/>
          <w:r>
            <w:rPr>
              <w:rFonts w:ascii="Garamond" w:hAnsi="Garamond"/>
              <w:sz w:val="20"/>
              <w:szCs w:val="20"/>
              <w:lang w:val="en-US"/>
            </w:rPr>
            <w:t xml:space="preserve">: Strategi </w:t>
          </w:r>
          <w:proofErr w:type="spellStart"/>
          <w:r>
            <w:rPr>
              <w:rFonts w:ascii="Garamond" w:hAnsi="Garamond"/>
              <w:sz w:val="20"/>
              <w:szCs w:val="20"/>
              <w:lang w:val="en-US"/>
            </w:rPr>
            <w:t>Berdakwah</w:t>
          </w:r>
          <w:proofErr w:type="spellEnd"/>
          <w:r>
            <w:rPr>
              <w:rFonts w:ascii="Garamond" w:hAnsi="Garamond"/>
              <w:sz w:val="20"/>
              <w:szCs w:val="20"/>
              <w:lang w:val="en-US"/>
            </w:rPr>
            <w:t xml:space="preserve"> di Era </w:t>
          </w:r>
          <w:r>
            <w:rPr>
              <w:rFonts w:ascii="Garamond" w:hAnsi="Garamond"/>
              <w:i/>
              <w:iCs/>
              <w:sz w:val="20"/>
              <w:szCs w:val="20"/>
              <w:lang w:val="en-US"/>
            </w:rPr>
            <w:t>New Media</w:t>
          </w:r>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3044D2F6" w:rsidR="00D46A76" w:rsidRDefault="00CD7421">
    <w:pPr>
      <w:pStyle w:val="Foote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666664A6">
              <wp:simplePos x="0" y="0"/>
              <wp:positionH relativeFrom="column">
                <wp:posOffset>-26670</wp:posOffset>
              </wp:positionH>
              <wp:positionV relativeFrom="paragraph">
                <wp:posOffset>-464185</wp:posOffset>
              </wp:positionV>
              <wp:extent cx="43529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F05E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36.55pt" to="340.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9490" w14:textId="77777777" w:rsidR="004E4C7B" w:rsidRDefault="004E4C7B" w:rsidP="003875A2">
      <w:pPr>
        <w:spacing w:after="0" w:line="240" w:lineRule="auto"/>
      </w:pPr>
      <w:r>
        <w:separator/>
      </w:r>
    </w:p>
  </w:footnote>
  <w:footnote w:type="continuationSeparator" w:id="0">
    <w:p w14:paraId="4983660F" w14:textId="77777777" w:rsidR="004E4C7B" w:rsidRDefault="004E4C7B" w:rsidP="0038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w:t>
    </w:r>
    <w:proofErr w:type="spellStart"/>
    <w:r>
      <w:rPr>
        <w:sz w:val="18"/>
        <w:szCs w:val="18"/>
      </w:rPr>
      <w:t>Penulis</w:t>
    </w:r>
    <w:proofErr w:type="spellEnd"/>
    <w:r>
      <w:rPr>
        <w:sz w:val="18"/>
        <w:szCs w:val="18"/>
      </w:rPr>
      <w:t xml:space="preserve"> </w:t>
    </w:r>
    <w:proofErr w:type="spellStart"/>
    <w:r>
      <w:rPr>
        <w:sz w:val="18"/>
        <w:szCs w:val="18"/>
      </w:rPr>
      <w:t>menggunakan</w:t>
    </w:r>
    <w:proofErr w:type="spellEnd"/>
    <w:r>
      <w:rPr>
        <w:sz w:val="18"/>
        <w:szCs w:val="18"/>
      </w:rPr>
      <w:t xml:space="preserve"> </w:t>
    </w:r>
    <w:r w:rsidRPr="00433D1D">
      <w:t xml:space="preserve">Garamond 8 </w:t>
    </w:r>
    <w:r>
      <w:t xml:space="preserve">normal rata </w:t>
    </w:r>
    <w:proofErr w:type="spellStart"/>
    <w:r>
      <w:t>kiri</w:t>
    </w:r>
    <w:proofErr w:type="spellEnd"/>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099C9759" w:rsidR="000B6B4D" w:rsidRPr="0047346B" w:rsidRDefault="00C0598C" w:rsidP="0047346B">
    <w:pPr>
      <w:pStyle w:val="Header"/>
      <w:jc w:val="right"/>
      <w:rPr>
        <w:sz w:val="14"/>
        <w:szCs w:val="14"/>
      </w:rPr>
    </w:pPr>
    <w:proofErr w:type="spellStart"/>
    <w:r>
      <w:rPr>
        <w:rFonts w:ascii="Garamond" w:hAnsi="Garamond"/>
        <w:sz w:val="20"/>
        <w:szCs w:val="20"/>
        <w:lang w:val="en-US"/>
      </w:rPr>
      <w:t>Analisis</w:t>
    </w:r>
    <w:proofErr w:type="spellEnd"/>
    <w:r>
      <w:rPr>
        <w:rFonts w:ascii="Garamond" w:hAnsi="Garamond"/>
        <w:sz w:val="20"/>
        <w:szCs w:val="20"/>
        <w:lang w:val="en-US"/>
      </w:rPr>
      <w:t xml:space="preserve"> Isi </w:t>
    </w:r>
    <w:proofErr w:type="spellStart"/>
    <w:r>
      <w:rPr>
        <w:rFonts w:ascii="Garamond" w:hAnsi="Garamond"/>
        <w:sz w:val="20"/>
        <w:szCs w:val="20"/>
        <w:lang w:val="en-US"/>
      </w:rPr>
      <w:t>Pesan</w:t>
    </w:r>
    <w:proofErr w:type="spellEnd"/>
    <w:r>
      <w:rPr>
        <w:rFonts w:ascii="Garamond" w:hAnsi="Garamond"/>
        <w:sz w:val="20"/>
        <w:szCs w:val="20"/>
        <w:lang w:val="en-US"/>
      </w:rPr>
      <w:t xml:space="preserve"> Dakwah Ustadz Hanan </w:t>
    </w:r>
    <w:proofErr w:type="spellStart"/>
    <w:r>
      <w:rPr>
        <w:rFonts w:ascii="Garamond" w:hAnsi="Garamond"/>
        <w:sz w:val="20"/>
        <w:szCs w:val="20"/>
        <w:lang w:val="en-US"/>
      </w:rPr>
      <w:t>Attaki</w:t>
    </w:r>
    <w:proofErr w:type="spellEnd"/>
    <w:r>
      <w:rPr>
        <w:rFonts w:ascii="Garamond" w:hAnsi="Garamond"/>
        <w:sz w:val="20"/>
        <w:szCs w:val="20"/>
        <w:lang w:val="en-US"/>
      </w:rPr>
      <w:t xml:space="preserve"> </w:t>
    </w:r>
    <w:proofErr w:type="spellStart"/>
    <w:r>
      <w:rPr>
        <w:rFonts w:ascii="Garamond" w:hAnsi="Garamond"/>
        <w:sz w:val="20"/>
        <w:szCs w:val="20"/>
        <w:lang w:val="en-US"/>
      </w:rPr>
      <w:t>Tema</w:t>
    </w:r>
    <w:proofErr w:type="spellEnd"/>
    <w:r>
      <w:rPr>
        <w:rFonts w:ascii="Garamond" w:hAnsi="Garamond"/>
        <w:sz w:val="20"/>
        <w:szCs w:val="20"/>
        <w:lang w:val="en-US"/>
      </w:rPr>
      <w:t xml:space="preserve"> “</w:t>
    </w:r>
    <w:proofErr w:type="spellStart"/>
    <w:r>
      <w:rPr>
        <w:rFonts w:ascii="Garamond" w:hAnsi="Garamond"/>
        <w:sz w:val="20"/>
        <w:szCs w:val="20"/>
        <w:lang w:val="en-US"/>
      </w:rPr>
      <w:t>Suka</w:t>
    </w:r>
    <w:proofErr w:type="spellEnd"/>
    <w:r>
      <w:rPr>
        <w:rFonts w:ascii="Garamond" w:hAnsi="Garamond"/>
        <w:sz w:val="20"/>
        <w:szCs w:val="20"/>
        <w:lang w:val="en-US"/>
      </w:rPr>
      <w:t xml:space="preserve"> Nunda Terus </w:t>
    </w:r>
    <w:proofErr w:type="spellStart"/>
    <w:r>
      <w:rPr>
        <w:rFonts w:ascii="Garamond" w:hAnsi="Garamond"/>
        <w:sz w:val="20"/>
        <w:szCs w:val="20"/>
        <w:lang w:val="en-US"/>
      </w:rPr>
      <w:t>mau</w:t>
    </w:r>
    <w:proofErr w:type="spellEnd"/>
    <w:r>
      <w:rPr>
        <w:rFonts w:ascii="Garamond" w:hAnsi="Garamond"/>
        <w:sz w:val="20"/>
        <w:szCs w:val="20"/>
        <w:lang w:val="en-US"/>
      </w:rPr>
      <w:t xml:space="preserve"> </w:t>
    </w:r>
    <w:proofErr w:type="spellStart"/>
    <w:r>
      <w:rPr>
        <w:rFonts w:ascii="Garamond" w:hAnsi="Garamond"/>
        <w:sz w:val="20"/>
        <w:szCs w:val="20"/>
        <w:lang w:val="en-US"/>
      </w:rPr>
      <w:t>Sampai</w:t>
    </w:r>
    <w:proofErr w:type="spellEnd"/>
    <w:r>
      <w:rPr>
        <w:rFonts w:ascii="Garamond" w:hAnsi="Garamond"/>
        <w:sz w:val="20"/>
        <w:szCs w:val="20"/>
        <w:lang w:val="en-US"/>
      </w:rPr>
      <w:t xml:space="preserve"> Kapan” Via </w:t>
    </w:r>
    <w:proofErr w:type="spellStart"/>
    <w:r>
      <w:rPr>
        <w:rFonts w:ascii="Garamond" w:hAnsi="Garamond"/>
        <w:sz w:val="20"/>
        <w:szCs w:val="20"/>
        <w:lang w:val="en-US"/>
      </w:rPr>
      <w:t>Youtube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773"/>
    <w:multiLevelType w:val="hybridMultilevel"/>
    <w:tmpl w:val="89B8C970"/>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E8B33ED"/>
    <w:multiLevelType w:val="hybridMultilevel"/>
    <w:tmpl w:val="CCF0AADA"/>
    <w:lvl w:ilvl="0" w:tplc="0690104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33230236"/>
    <w:multiLevelType w:val="hybridMultilevel"/>
    <w:tmpl w:val="83387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87602"/>
    <w:multiLevelType w:val="hybridMultilevel"/>
    <w:tmpl w:val="D0DAF0D2"/>
    <w:lvl w:ilvl="0" w:tplc="C22A58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5C5B5C87"/>
    <w:multiLevelType w:val="hybridMultilevel"/>
    <w:tmpl w:val="16D69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CA44FA1"/>
    <w:multiLevelType w:val="hybridMultilevel"/>
    <w:tmpl w:val="622A5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E800AB"/>
    <w:multiLevelType w:val="hybridMultilevel"/>
    <w:tmpl w:val="EB887A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A6E4DA7"/>
    <w:multiLevelType w:val="hybridMultilevel"/>
    <w:tmpl w:val="E8EE9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4687889"/>
    <w:multiLevelType w:val="hybridMultilevel"/>
    <w:tmpl w:val="40F8F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6025528">
    <w:abstractNumId w:val="12"/>
  </w:num>
  <w:num w:numId="2" w16cid:durableId="705329785">
    <w:abstractNumId w:val="2"/>
  </w:num>
  <w:num w:numId="3" w16cid:durableId="2022509533">
    <w:abstractNumId w:val="9"/>
  </w:num>
  <w:num w:numId="4" w16cid:durableId="114063409">
    <w:abstractNumId w:val="5"/>
  </w:num>
  <w:num w:numId="5" w16cid:durableId="578562871">
    <w:abstractNumId w:val="1"/>
  </w:num>
  <w:num w:numId="6" w16cid:durableId="1010182379">
    <w:abstractNumId w:val="0"/>
  </w:num>
  <w:num w:numId="7" w16cid:durableId="1156728314">
    <w:abstractNumId w:val="3"/>
  </w:num>
  <w:num w:numId="8" w16cid:durableId="719981476">
    <w:abstractNumId w:val="6"/>
  </w:num>
  <w:num w:numId="9" w16cid:durableId="1028682683">
    <w:abstractNumId w:val="4"/>
  </w:num>
  <w:num w:numId="10" w16cid:durableId="217669512">
    <w:abstractNumId w:val="11"/>
  </w:num>
  <w:num w:numId="11" w16cid:durableId="848450511">
    <w:abstractNumId w:val="7"/>
  </w:num>
  <w:num w:numId="12" w16cid:durableId="2020429735">
    <w:abstractNumId w:val="8"/>
  </w:num>
  <w:num w:numId="13" w16cid:durableId="2057241495">
    <w:abstractNumId w:val="10"/>
  </w:num>
  <w:num w:numId="14" w16cid:durableId="2051104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154ED"/>
    <w:rsid w:val="00027B8E"/>
    <w:rsid w:val="000574E2"/>
    <w:rsid w:val="00063F4A"/>
    <w:rsid w:val="00072B1D"/>
    <w:rsid w:val="00096038"/>
    <w:rsid w:val="000A71B2"/>
    <w:rsid w:val="000B6B4D"/>
    <w:rsid w:val="000C078B"/>
    <w:rsid w:val="000C6023"/>
    <w:rsid w:val="000F4988"/>
    <w:rsid w:val="0010111D"/>
    <w:rsid w:val="00103EE9"/>
    <w:rsid w:val="0011515D"/>
    <w:rsid w:val="00122A91"/>
    <w:rsid w:val="0012320B"/>
    <w:rsid w:val="00124156"/>
    <w:rsid w:val="001341B7"/>
    <w:rsid w:val="001360C5"/>
    <w:rsid w:val="00137780"/>
    <w:rsid w:val="00150C63"/>
    <w:rsid w:val="00164E73"/>
    <w:rsid w:val="0017653E"/>
    <w:rsid w:val="00176DA0"/>
    <w:rsid w:val="00181779"/>
    <w:rsid w:val="001A34B7"/>
    <w:rsid w:val="001B391D"/>
    <w:rsid w:val="001C2FB3"/>
    <w:rsid w:val="001C63CB"/>
    <w:rsid w:val="00205444"/>
    <w:rsid w:val="0021205E"/>
    <w:rsid w:val="00212A94"/>
    <w:rsid w:val="00222E70"/>
    <w:rsid w:val="002361C8"/>
    <w:rsid w:val="00250009"/>
    <w:rsid w:val="002537C5"/>
    <w:rsid w:val="002623A9"/>
    <w:rsid w:val="00263866"/>
    <w:rsid w:val="00293F66"/>
    <w:rsid w:val="002B1CD7"/>
    <w:rsid w:val="002D1FB2"/>
    <w:rsid w:val="002D37E5"/>
    <w:rsid w:val="002D6860"/>
    <w:rsid w:val="002F561D"/>
    <w:rsid w:val="0031031F"/>
    <w:rsid w:val="00385D68"/>
    <w:rsid w:val="00385DBD"/>
    <w:rsid w:val="003875A2"/>
    <w:rsid w:val="003B0292"/>
    <w:rsid w:val="003B720A"/>
    <w:rsid w:val="003C69E9"/>
    <w:rsid w:val="003E74B9"/>
    <w:rsid w:val="003F1039"/>
    <w:rsid w:val="00412BF4"/>
    <w:rsid w:val="0045131C"/>
    <w:rsid w:val="00467CC3"/>
    <w:rsid w:val="0047346B"/>
    <w:rsid w:val="00476707"/>
    <w:rsid w:val="004767B9"/>
    <w:rsid w:val="004855FD"/>
    <w:rsid w:val="00492B29"/>
    <w:rsid w:val="004A7676"/>
    <w:rsid w:val="004B71BD"/>
    <w:rsid w:val="004C6575"/>
    <w:rsid w:val="004E4C7B"/>
    <w:rsid w:val="00506D78"/>
    <w:rsid w:val="00524918"/>
    <w:rsid w:val="00541378"/>
    <w:rsid w:val="00552FEF"/>
    <w:rsid w:val="00560C86"/>
    <w:rsid w:val="005747DF"/>
    <w:rsid w:val="00577C99"/>
    <w:rsid w:val="00581464"/>
    <w:rsid w:val="005B21C4"/>
    <w:rsid w:val="005B5FCA"/>
    <w:rsid w:val="005E1A0F"/>
    <w:rsid w:val="005E498E"/>
    <w:rsid w:val="005F23C1"/>
    <w:rsid w:val="006006FF"/>
    <w:rsid w:val="00603759"/>
    <w:rsid w:val="00614E5D"/>
    <w:rsid w:val="00622B86"/>
    <w:rsid w:val="00632FF8"/>
    <w:rsid w:val="00646D4B"/>
    <w:rsid w:val="006669C3"/>
    <w:rsid w:val="006878D0"/>
    <w:rsid w:val="006A7BEF"/>
    <w:rsid w:val="006C30B1"/>
    <w:rsid w:val="006C4766"/>
    <w:rsid w:val="006D2D39"/>
    <w:rsid w:val="006D5F40"/>
    <w:rsid w:val="006F362C"/>
    <w:rsid w:val="00711024"/>
    <w:rsid w:val="00732FFA"/>
    <w:rsid w:val="007426AF"/>
    <w:rsid w:val="007446CB"/>
    <w:rsid w:val="00752C7E"/>
    <w:rsid w:val="00757205"/>
    <w:rsid w:val="00787C17"/>
    <w:rsid w:val="0079404D"/>
    <w:rsid w:val="007A04C3"/>
    <w:rsid w:val="007A6982"/>
    <w:rsid w:val="007B3289"/>
    <w:rsid w:val="007D4E80"/>
    <w:rsid w:val="007D5BC6"/>
    <w:rsid w:val="007F50C7"/>
    <w:rsid w:val="00805B65"/>
    <w:rsid w:val="00826325"/>
    <w:rsid w:val="008425FA"/>
    <w:rsid w:val="00842AC5"/>
    <w:rsid w:val="00884CEE"/>
    <w:rsid w:val="008861FC"/>
    <w:rsid w:val="008A1CE7"/>
    <w:rsid w:val="008B24C9"/>
    <w:rsid w:val="008D402D"/>
    <w:rsid w:val="008E0368"/>
    <w:rsid w:val="008E50EE"/>
    <w:rsid w:val="008E6071"/>
    <w:rsid w:val="00922A4F"/>
    <w:rsid w:val="00922C29"/>
    <w:rsid w:val="00942A19"/>
    <w:rsid w:val="009730CE"/>
    <w:rsid w:val="00982656"/>
    <w:rsid w:val="00993A76"/>
    <w:rsid w:val="009A1FA0"/>
    <w:rsid w:val="009A7E90"/>
    <w:rsid w:val="009B13F2"/>
    <w:rsid w:val="009D358D"/>
    <w:rsid w:val="009E3794"/>
    <w:rsid w:val="009E5109"/>
    <w:rsid w:val="009E6DDF"/>
    <w:rsid w:val="009F6880"/>
    <w:rsid w:val="00A24F09"/>
    <w:rsid w:val="00A5273B"/>
    <w:rsid w:val="00A840D3"/>
    <w:rsid w:val="00A90D28"/>
    <w:rsid w:val="00A91D26"/>
    <w:rsid w:val="00A9593D"/>
    <w:rsid w:val="00AA275B"/>
    <w:rsid w:val="00AC4F4C"/>
    <w:rsid w:val="00B504F7"/>
    <w:rsid w:val="00B566B0"/>
    <w:rsid w:val="00B74116"/>
    <w:rsid w:val="00B8347B"/>
    <w:rsid w:val="00B964A0"/>
    <w:rsid w:val="00BB57EF"/>
    <w:rsid w:val="00BB7B46"/>
    <w:rsid w:val="00C04FAD"/>
    <w:rsid w:val="00C0598C"/>
    <w:rsid w:val="00C07A1F"/>
    <w:rsid w:val="00C07ECA"/>
    <w:rsid w:val="00C107AF"/>
    <w:rsid w:val="00C20E79"/>
    <w:rsid w:val="00C2527F"/>
    <w:rsid w:val="00C348B5"/>
    <w:rsid w:val="00C3643D"/>
    <w:rsid w:val="00C41E61"/>
    <w:rsid w:val="00C6536C"/>
    <w:rsid w:val="00C843F5"/>
    <w:rsid w:val="00CA3F6B"/>
    <w:rsid w:val="00CC102D"/>
    <w:rsid w:val="00CC13DB"/>
    <w:rsid w:val="00CD7421"/>
    <w:rsid w:val="00CE5063"/>
    <w:rsid w:val="00CF4E41"/>
    <w:rsid w:val="00CF7C36"/>
    <w:rsid w:val="00D0165F"/>
    <w:rsid w:val="00D02716"/>
    <w:rsid w:val="00D400FB"/>
    <w:rsid w:val="00D42AF6"/>
    <w:rsid w:val="00D61210"/>
    <w:rsid w:val="00D75013"/>
    <w:rsid w:val="00DA4748"/>
    <w:rsid w:val="00DD5388"/>
    <w:rsid w:val="00DF6884"/>
    <w:rsid w:val="00E01DE4"/>
    <w:rsid w:val="00E10347"/>
    <w:rsid w:val="00E51072"/>
    <w:rsid w:val="00E7281A"/>
    <w:rsid w:val="00E75842"/>
    <w:rsid w:val="00E86C28"/>
    <w:rsid w:val="00E94F68"/>
    <w:rsid w:val="00F33F8F"/>
    <w:rsid w:val="00F37F55"/>
    <w:rsid w:val="00F441BF"/>
    <w:rsid w:val="00F54083"/>
    <w:rsid w:val="00F91CEC"/>
    <w:rsid w:val="00F91FE7"/>
    <w:rsid w:val="00FC1796"/>
    <w:rsid w:val="00FD1918"/>
    <w:rsid w:val="00FD2992"/>
    <w:rsid w:val="00FD79A0"/>
    <w:rsid w:val="00FF2D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semiHidden/>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semiHidden/>
    <w:rsid w:val="00AC4F4C"/>
    <w:rPr>
      <w:sz w:val="20"/>
      <w:szCs w:val="20"/>
      <w:lang w:eastAsia="en-US"/>
    </w:rPr>
  </w:style>
  <w:style w:type="character" w:styleId="FootnoteReference">
    <w:name w:val="footnote reference"/>
    <w:basedOn w:val="DefaultParagraphFont"/>
    <w:uiPriority w:val="99"/>
    <w:semiHidden/>
    <w:unhideWhenUsed/>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locked/>
    <w:rsid w:val="00DD5388"/>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dhianhasyimfadhillah@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10845</Words>
  <Characters>61819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176</cp:revision>
  <dcterms:created xsi:type="dcterms:W3CDTF">2022-07-24T07:30:00Z</dcterms:created>
  <dcterms:modified xsi:type="dcterms:W3CDTF">2023-04-09T04:23:00Z</dcterms:modified>
</cp:coreProperties>
</file>