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423E1" w14:textId="77777777" w:rsidR="001D3356" w:rsidRDefault="00000000">
      <w:pPr>
        <w:widowControl w:val="0"/>
        <w:autoSpaceDE w:val="0"/>
        <w:autoSpaceDN w:val="0"/>
        <w:ind w:left="464" w:right="71" w:firstLine="1"/>
        <w:jc w:val="center"/>
        <w:outlineLvl w:val="0"/>
        <w:rPr>
          <w:b/>
          <w:bCs/>
          <w:sz w:val="28"/>
          <w:szCs w:val="28"/>
        </w:rPr>
      </w:pPr>
      <w:r>
        <w:rPr>
          <w:b/>
          <w:bCs/>
          <w:sz w:val="28"/>
          <w:szCs w:val="28"/>
        </w:rPr>
        <w:t>The Influence of Consumer Knowledge and Product Quality Perception on Korean Beauty Product Purchase Decisions</w:t>
      </w:r>
    </w:p>
    <w:p w14:paraId="022B72F8" w14:textId="77777777" w:rsidR="001D3356" w:rsidRDefault="001D3356">
      <w:pPr>
        <w:spacing w:line="276" w:lineRule="auto"/>
        <w:ind w:firstLine="720"/>
        <w:jc w:val="center"/>
        <w:rPr>
          <w:b/>
          <w:iCs/>
        </w:rPr>
      </w:pPr>
    </w:p>
    <w:p w14:paraId="57E63CEE" w14:textId="1B8143CA" w:rsidR="001D3356" w:rsidRPr="0008785B" w:rsidRDefault="00000000">
      <w:pPr>
        <w:spacing w:line="276" w:lineRule="auto"/>
        <w:jc w:val="center"/>
        <w:rPr>
          <w:b/>
          <w:bCs/>
          <w:sz w:val="22"/>
          <w:szCs w:val="22"/>
          <w:vertAlign w:val="superscript"/>
        </w:rPr>
      </w:pPr>
      <w:r>
        <w:rPr>
          <w:b/>
          <w:sz w:val="22"/>
          <w:szCs w:val="22"/>
        </w:rPr>
        <w:t>Aprilina Putri</w:t>
      </w:r>
      <w:r>
        <w:rPr>
          <w:b/>
          <w:sz w:val="22"/>
          <w:szCs w:val="22"/>
          <w:vertAlign w:val="superscript"/>
        </w:rPr>
        <w:t>1</w:t>
      </w:r>
      <w:r>
        <w:rPr>
          <w:b/>
          <w:bCs/>
          <w:sz w:val="22"/>
          <w:szCs w:val="22"/>
          <w:lang w:val="id-ID"/>
        </w:rPr>
        <w:t>,</w:t>
      </w:r>
      <w:r>
        <w:rPr>
          <w:b/>
          <w:bCs/>
          <w:sz w:val="22"/>
          <w:szCs w:val="22"/>
        </w:rPr>
        <w:t xml:space="preserve"> </w:t>
      </w:r>
      <w:r>
        <w:rPr>
          <w:b/>
          <w:sz w:val="22"/>
          <w:szCs w:val="22"/>
        </w:rPr>
        <w:t>Saidina Putri</w:t>
      </w:r>
      <w:r>
        <w:rPr>
          <w:b/>
          <w:sz w:val="22"/>
          <w:szCs w:val="22"/>
          <w:vertAlign w:val="superscript"/>
        </w:rPr>
        <w:t>2</w:t>
      </w:r>
      <w:r w:rsidR="0008785B">
        <w:rPr>
          <w:b/>
          <w:sz w:val="22"/>
          <w:szCs w:val="22"/>
        </w:rPr>
        <w:t>, Nur Ahmadi Bi Rahmani</w:t>
      </w:r>
      <w:r w:rsidR="0008785B">
        <w:rPr>
          <w:b/>
          <w:sz w:val="22"/>
          <w:szCs w:val="22"/>
          <w:vertAlign w:val="superscript"/>
        </w:rPr>
        <w:t>3</w:t>
      </w:r>
      <w:r w:rsidR="0008785B">
        <w:rPr>
          <w:b/>
          <w:sz w:val="22"/>
          <w:szCs w:val="22"/>
        </w:rPr>
        <w:t>, Maidalena</w:t>
      </w:r>
      <w:r w:rsidR="0008785B">
        <w:rPr>
          <w:b/>
          <w:sz w:val="22"/>
          <w:szCs w:val="22"/>
          <w:vertAlign w:val="superscript"/>
        </w:rPr>
        <w:t>4</w:t>
      </w:r>
    </w:p>
    <w:p w14:paraId="70A0AAFA" w14:textId="2B3C4A6B" w:rsidR="0008785B" w:rsidRPr="004834E8" w:rsidRDefault="0008785B" w:rsidP="0008785B">
      <w:pPr>
        <w:spacing w:line="276" w:lineRule="auto"/>
        <w:jc w:val="center"/>
      </w:pPr>
      <w:r>
        <w:rPr>
          <w:bCs/>
          <w:sz w:val="22"/>
          <w:szCs w:val="22"/>
          <w:vertAlign w:val="superscript"/>
        </w:rPr>
        <w:t>1</w:t>
      </w:r>
      <w:r w:rsidR="004E31FD">
        <w:rPr>
          <w:bCs/>
          <w:sz w:val="22"/>
          <w:szCs w:val="22"/>
          <w:vertAlign w:val="superscript"/>
        </w:rPr>
        <w:t xml:space="preserve">,2,3,4 </w:t>
      </w:r>
      <w:r w:rsidR="004E31FD" w:rsidRPr="004E31FD">
        <w:t>Faculty of Islamic Economics and Business</w:t>
      </w:r>
      <w:r>
        <w:t xml:space="preserve">, </w:t>
      </w:r>
      <w:r w:rsidR="004E31FD" w:rsidRPr="004E31FD">
        <w:t>Universitas Islam Negeri Sumatera Utara</w:t>
      </w:r>
      <w:r>
        <w:t>, Medan</w:t>
      </w:r>
    </w:p>
    <w:p w14:paraId="0446AFA8" w14:textId="475D6051" w:rsidR="0008785B" w:rsidRPr="004834E8" w:rsidRDefault="0008785B" w:rsidP="0008785B">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1D3356" w14:paraId="7DF99F9C" w14:textId="77777777">
        <w:tc>
          <w:tcPr>
            <w:tcW w:w="2802" w:type="dxa"/>
            <w:tcBorders>
              <w:top w:val="double" w:sz="4" w:space="0" w:color="auto"/>
              <w:left w:val="nil"/>
              <w:bottom w:val="single" w:sz="4" w:space="0" w:color="auto"/>
              <w:right w:val="nil"/>
            </w:tcBorders>
          </w:tcPr>
          <w:p w14:paraId="7A0AACF4" w14:textId="77777777" w:rsidR="001D3356" w:rsidRDefault="00000000">
            <w:pPr>
              <w:spacing w:before="120" w:line="276" w:lineRule="auto"/>
              <w:jc w:val="both"/>
              <w:rPr>
                <w:b/>
              </w:rPr>
            </w:pPr>
            <w:r>
              <w:rPr>
                <w:b/>
              </w:rPr>
              <w:t>Article Info</w:t>
            </w:r>
          </w:p>
        </w:tc>
        <w:tc>
          <w:tcPr>
            <w:tcW w:w="283" w:type="dxa"/>
            <w:tcBorders>
              <w:top w:val="double" w:sz="4" w:space="0" w:color="auto"/>
              <w:left w:val="nil"/>
              <w:bottom w:val="nil"/>
              <w:right w:val="nil"/>
            </w:tcBorders>
          </w:tcPr>
          <w:p w14:paraId="069A0102" w14:textId="77777777" w:rsidR="001D3356" w:rsidRDefault="001D3356">
            <w:pPr>
              <w:spacing w:before="120" w:line="276" w:lineRule="auto"/>
              <w:jc w:val="center"/>
            </w:pPr>
          </w:p>
        </w:tc>
        <w:tc>
          <w:tcPr>
            <w:tcW w:w="5812" w:type="dxa"/>
            <w:tcBorders>
              <w:top w:val="double" w:sz="4" w:space="0" w:color="auto"/>
              <w:left w:val="nil"/>
              <w:bottom w:val="single" w:sz="4" w:space="0" w:color="auto"/>
              <w:right w:val="nil"/>
            </w:tcBorders>
          </w:tcPr>
          <w:p w14:paraId="5D2560A6" w14:textId="77777777" w:rsidR="001D3356" w:rsidRDefault="00000000">
            <w:pPr>
              <w:spacing w:before="120" w:line="276" w:lineRule="auto"/>
              <w:rPr>
                <w:color w:val="000000"/>
                <w:sz w:val="24"/>
                <w:szCs w:val="24"/>
              </w:rPr>
            </w:pPr>
            <w:r>
              <w:rPr>
                <w:b/>
                <w:bCs/>
                <w:iCs/>
                <w:color w:val="000000"/>
              </w:rPr>
              <w:t xml:space="preserve">ABSTRACT </w:t>
            </w:r>
          </w:p>
        </w:tc>
      </w:tr>
      <w:tr w:rsidR="001D3356" w14:paraId="3610663A" w14:textId="77777777">
        <w:trPr>
          <w:trHeight w:val="1268"/>
        </w:trPr>
        <w:tc>
          <w:tcPr>
            <w:tcW w:w="2802" w:type="dxa"/>
            <w:tcBorders>
              <w:top w:val="single" w:sz="4" w:space="0" w:color="auto"/>
              <w:left w:val="nil"/>
              <w:bottom w:val="single" w:sz="4" w:space="0" w:color="auto"/>
              <w:right w:val="nil"/>
            </w:tcBorders>
          </w:tcPr>
          <w:p w14:paraId="6C6D25AC" w14:textId="77777777" w:rsidR="001D3356" w:rsidRDefault="00000000">
            <w:pPr>
              <w:spacing w:before="120" w:after="120" w:line="276" w:lineRule="auto"/>
              <w:jc w:val="both"/>
              <w:rPr>
                <w:b/>
                <w:i/>
              </w:rPr>
            </w:pPr>
            <w:r>
              <w:rPr>
                <w:b/>
                <w:i/>
              </w:rPr>
              <w:t>Article history:</w:t>
            </w:r>
          </w:p>
          <w:p w14:paraId="324B1705" w14:textId="1CB77A6A" w:rsidR="001D3356" w:rsidRDefault="00000000">
            <w:pPr>
              <w:spacing w:line="276" w:lineRule="auto"/>
              <w:jc w:val="both"/>
            </w:pPr>
            <w:r>
              <w:t xml:space="preserve">Received </w:t>
            </w:r>
            <w:r w:rsidR="00C26E32">
              <w:t>10 April 2023</w:t>
            </w:r>
          </w:p>
          <w:p w14:paraId="05BEE513" w14:textId="3A739BB0" w:rsidR="001D3356" w:rsidRDefault="00000000">
            <w:pPr>
              <w:spacing w:line="276" w:lineRule="auto"/>
              <w:jc w:val="both"/>
            </w:pPr>
            <w:r>
              <w:t xml:space="preserve">Revised </w:t>
            </w:r>
            <w:r w:rsidR="00C26E32">
              <w:t>1 May 2023</w:t>
            </w:r>
          </w:p>
          <w:p w14:paraId="0766BD9B" w14:textId="23BDDCEB" w:rsidR="001D3356" w:rsidRDefault="00000000">
            <w:pPr>
              <w:spacing w:line="276" w:lineRule="auto"/>
              <w:jc w:val="both"/>
            </w:pPr>
            <w:r>
              <w:t xml:space="preserve">Accepted </w:t>
            </w:r>
            <w:r w:rsidR="00C26E32">
              <w:t>15 May 2023</w:t>
            </w:r>
          </w:p>
          <w:p w14:paraId="0B84A387" w14:textId="77777777" w:rsidR="001D3356" w:rsidRDefault="001D3356">
            <w:pPr>
              <w:spacing w:line="276" w:lineRule="auto"/>
              <w:jc w:val="both"/>
            </w:pPr>
          </w:p>
        </w:tc>
        <w:tc>
          <w:tcPr>
            <w:tcW w:w="283" w:type="dxa"/>
            <w:vMerge w:val="restart"/>
            <w:tcBorders>
              <w:top w:val="nil"/>
              <w:left w:val="nil"/>
              <w:bottom w:val="nil"/>
              <w:right w:val="nil"/>
            </w:tcBorders>
          </w:tcPr>
          <w:p w14:paraId="7A8218B4" w14:textId="77777777" w:rsidR="001D3356" w:rsidRDefault="001D3356">
            <w:pPr>
              <w:spacing w:before="120" w:line="276" w:lineRule="auto"/>
              <w:jc w:val="both"/>
            </w:pPr>
          </w:p>
        </w:tc>
        <w:tc>
          <w:tcPr>
            <w:tcW w:w="5812" w:type="dxa"/>
            <w:vMerge w:val="restart"/>
            <w:tcBorders>
              <w:top w:val="single" w:sz="4" w:space="0" w:color="auto"/>
              <w:left w:val="nil"/>
              <w:bottom w:val="nil"/>
              <w:right w:val="nil"/>
            </w:tcBorders>
          </w:tcPr>
          <w:p w14:paraId="6BFAA71A" w14:textId="73874CFE" w:rsidR="001D3356" w:rsidRDefault="00000000">
            <w:pPr>
              <w:jc w:val="both"/>
              <w:rPr>
                <w:color w:val="000000"/>
                <w:lang w:eastAsia="id-ID"/>
              </w:rPr>
            </w:pPr>
            <w:r>
              <w:t>This study examines the relationship between the foreign brand halo effect and beauty consciousness</w:t>
            </w:r>
            <w:r>
              <w:rPr>
                <w:spacing w:val="40"/>
              </w:rPr>
              <w:t xml:space="preserve"> </w:t>
            </w:r>
            <w:r>
              <w:t>on</w:t>
            </w:r>
            <w:r>
              <w:rPr>
                <w:spacing w:val="40"/>
              </w:rPr>
              <w:t xml:space="preserve"> </w:t>
            </w:r>
            <w:r>
              <w:t>self-brand</w:t>
            </w:r>
            <w:r>
              <w:rPr>
                <w:spacing w:val="40"/>
              </w:rPr>
              <w:t xml:space="preserve"> </w:t>
            </w:r>
            <w:r>
              <w:t>connection</w:t>
            </w:r>
            <w:r>
              <w:rPr>
                <w:spacing w:val="40"/>
              </w:rPr>
              <w:t xml:space="preserve"> </w:t>
            </w:r>
            <w:r>
              <w:t>in</w:t>
            </w:r>
            <w:r>
              <w:rPr>
                <w:spacing w:val="40"/>
              </w:rPr>
              <w:t xml:space="preserve"> </w:t>
            </w:r>
            <w:r>
              <w:t>beauty</w:t>
            </w:r>
            <w:r>
              <w:rPr>
                <w:spacing w:val="40"/>
              </w:rPr>
              <w:t xml:space="preserve"> </w:t>
            </w:r>
            <w:r>
              <w:t>consumption.</w:t>
            </w:r>
            <w:r>
              <w:rPr>
                <w:spacing w:val="40"/>
              </w:rPr>
              <w:t xml:space="preserve"> </w:t>
            </w:r>
            <w:r>
              <w:t>The</w:t>
            </w:r>
            <w:r>
              <w:rPr>
                <w:spacing w:val="40"/>
              </w:rPr>
              <w:t xml:space="preserve"> </w:t>
            </w:r>
            <w:r>
              <w:t>research</w:t>
            </w:r>
            <w:r>
              <w:rPr>
                <w:spacing w:val="40"/>
              </w:rPr>
              <w:t xml:space="preserve"> </w:t>
            </w:r>
            <w:r>
              <w:t>also investigates the moderating role of age in this relationship. Data were collected through an online</w:t>
            </w:r>
            <w:r>
              <w:rPr>
                <w:spacing w:val="37"/>
              </w:rPr>
              <w:t xml:space="preserve"> </w:t>
            </w:r>
            <w:r>
              <w:t>survey</w:t>
            </w:r>
            <w:r>
              <w:rPr>
                <w:spacing w:val="40"/>
              </w:rPr>
              <w:t xml:space="preserve"> </w:t>
            </w:r>
            <w:r>
              <w:t>focusing</w:t>
            </w:r>
            <w:r>
              <w:rPr>
                <w:spacing w:val="38"/>
              </w:rPr>
              <w:t xml:space="preserve"> </w:t>
            </w:r>
            <w:r>
              <w:t>on</w:t>
            </w:r>
            <w:r>
              <w:rPr>
                <w:spacing w:val="36"/>
              </w:rPr>
              <w:t xml:space="preserve"> </w:t>
            </w:r>
            <w:r>
              <w:t>two</w:t>
            </w:r>
            <w:r>
              <w:rPr>
                <w:spacing w:val="38"/>
              </w:rPr>
              <w:t xml:space="preserve"> </w:t>
            </w:r>
            <w:r>
              <w:t>beauty</w:t>
            </w:r>
            <w:r>
              <w:rPr>
                <w:spacing w:val="40"/>
              </w:rPr>
              <w:t xml:space="preserve"> </w:t>
            </w:r>
            <w:r>
              <w:t>brands</w:t>
            </w:r>
            <w:r>
              <w:rPr>
                <w:spacing w:val="40"/>
              </w:rPr>
              <w:t xml:space="preserve"> </w:t>
            </w:r>
            <w:r>
              <w:t>from</w:t>
            </w:r>
            <w:r>
              <w:rPr>
                <w:spacing w:val="38"/>
              </w:rPr>
              <w:t xml:space="preserve"> </w:t>
            </w:r>
            <w:r>
              <w:t>South</w:t>
            </w:r>
            <w:r>
              <w:rPr>
                <w:spacing w:val="38"/>
              </w:rPr>
              <w:t xml:space="preserve"> </w:t>
            </w:r>
            <w:r>
              <w:t>Korea</w:t>
            </w:r>
            <w:r>
              <w:rPr>
                <w:spacing w:val="40"/>
              </w:rPr>
              <w:t xml:space="preserve"> </w:t>
            </w:r>
            <w:r>
              <w:t>(K-beauty).</w:t>
            </w:r>
            <w:r>
              <w:rPr>
                <w:spacing w:val="36"/>
              </w:rPr>
              <w:t xml:space="preserve"> </w:t>
            </w:r>
            <w:r>
              <w:t>The</w:t>
            </w:r>
            <w:r>
              <w:rPr>
                <w:spacing w:val="38"/>
              </w:rPr>
              <w:t xml:space="preserve"> </w:t>
            </w:r>
            <w:r>
              <w:t>results</w:t>
            </w:r>
            <w:r>
              <w:rPr>
                <w:spacing w:val="38"/>
              </w:rPr>
              <w:t xml:space="preserve"> </w:t>
            </w:r>
            <w:r>
              <w:t>of this study contribute to the literature on consumer-brand relationships and international marketing.</w:t>
            </w:r>
            <w:r>
              <w:rPr>
                <w:spacing w:val="40"/>
              </w:rPr>
              <w:t xml:space="preserve"> </w:t>
            </w:r>
            <w:r>
              <w:t>There</w:t>
            </w:r>
            <w:r>
              <w:rPr>
                <w:spacing w:val="40"/>
              </w:rPr>
              <w:t xml:space="preserve"> </w:t>
            </w:r>
            <w:r>
              <w:t>were</w:t>
            </w:r>
            <w:r>
              <w:rPr>
                <w:spacing w:val="40"/>
              </w:rPr>
              <w:t xml:space="preserve"> </w:t>
            </w:r>
            <w:r>
              <w:t>no</w:t>
            </w:r>
            <w:r>
              <w:rPr>
                <w:spacing w:val="40"/>
              </w:rPr>
              <w:t xml:space="preserve"> </w:t>
            </w:r>
            <w:r>
              <w:t>differences</w:t>
            </w:r>
            <w:r>
              <w:rPr>
                <w:spacing w:val="40"/>
              </w:rPr>
              <w:t xml:space="preserve"> </w:t>
            </w:r>
            <w:r>
              <w:t>between</w:t>
            </w:r>
            <w:r>
              <w:rPr>
                <w:spacing w:val="40"/>
              </w:rPr>
              <w:t xml:space="preserve"> </w:t>
            </w:r>
            <w:r>
              <w:t>young</w:t>
            </w:r>
            <w:r>
              <w:rPr>
                <w:spacing w:val="40"/>
              </w:rPr>
              <w:t xml:space="preserve"> </w:t>
            </w:r>
            <w:r>
              <w:t>adult</w:t>
            </w:r>
            <w:r>
              <w:rPr>
                <w:spacing w:val="40"/>
              </w:rPr>
              <w:t xml:space="preserve"> </w:t>
            </w:r>
            <w:r>
              <w:t>female</w:t>
            </w:r>
            <w:r>
              <w:rPr>
                <w:spacing w:val="40"/>
              </w:rPr>
              <w:t xml:space="preserve"> </w:t>
            </w:r>
            <w:r>
              <w:t>consumers</w:t>
            </w:r>
            <w:r>
              <w:rPr>
                <w:spacing w:val="40"/>
              </w:rPr>
              <w:t xml:space="preserve"> </w:t>
            </w:r>
            <w:r>
              <w:t>and</w:t>
            </w:r>
            <w:r>
              <w:rPr>
                <w:spacing w:val="40"/>
              </w:rPr>
              <w:t xml:space="preserve"> </w:t>
            </w:r>
            <w:r>
              <w:t>more mature adult female consumers in the influence of beauty consciousness on self-brand connection. However, there were substantial differences between the two consumer groups in the influence of the foreign brand halo effect on self-brand connection. Additionally, the halo effect</w:t>
            </w:r>
            <w:r>
              <w:rPr>
                <w:spacing w:val="18"/>
              </w:rPr>
              <w:t xml:space="preserve"> </w:t>
            </w:r>
            <w:r>
              <w:t>showed the greatest impact on the willingness to</w:t>
            </w:r>
            <w:r>
              <w:rPr>
                <w:spacing w:val="18"/>
              </w:rPr>
              <w:t xml:space="preserve"> </w:t>
            </w:r>
            <w:r>
              <w:t>pay more.</w:t>
            </w:r>
            <w:r>
              <w:rPr>
                <w:spacing w:val="18"/>
              </w:rPr>
              <w:t xml:space="preserve"> </w:t>
            </w:r>
            <w:r>
              <w:t>Consumers</w:t>
            </w:r>
            <w:r>
              <w:rPr>
                <w:spacing w:val="18"/>
              </w:rPr>
              <w:t xml:space="preserve"> </w:t>
            </w:r>
            <w:r>
              <w:t>are</w:t>
            </w:r>
            <w:r>
              <w:rPr>
                <w:spacing w:val="19"/>
              </w:rPr>
              <w:t xml:space="preserve"> </w:t>
            </w:r>
            <w:r>
              <w:t>also willing to pay more for brands from countries with a positive image.</w:t>
            </w:r>
          </w:p>
          <w:p w14:paraId="09E97813" w14:textId="77777777" w:rsidR="001D3356" w:rsidRDefault="001D3356">
            <w:pPr>
              <w:pStyle w:val="NormalWeb"/>
              <w:spacing w:before="0" w:beforeAutospacing="0" w:after="0" w:afterAutospacing="0"/>
              <w:jc w:val="both"/>
              <w:rPr>
                <w:sz w:val="20"/>
                <w:szCs w:val="20"/>
              </w:rPr>
            </w:pPr>
          </w:p>
          <w:p w14:paraId="5CB02C78" w14:textId="77777777" w:rsidR="001D3356" w:rsidRDefault="001D3356">
            <w:pPr>
              <w:jc w:val="both"/>
              <w:rPr>
                <w:b/>
                <w:i/>
                <w:iCs/>
                <w:color w:val="000000"/>
                <w:sz w:val="18"/>
                <w:szCs w:val="18"/>
              </w:rPr>
            </w:pPr>
          </w:p>
          <w:p w14:paraId="6DA6E0F1" w14:textId="77777777" w:rsidR="001D3356" w:rsidRDefault="001D3356">
            <w:pPr>
              <w:jc w:val="both"/>
              <w:rPr>
                <w:iCs/>
                <w:color w:val="000000"/>
                <w:sz w:val="18"/>
                <w:szCs w:val="18"/>
              </w:rPr>
            </w:pPr>
          </w:p>
        </w:tc>
      </w:tr>
      <w:tr w:rsidR="001D3356" w14:paraId="3A5AE36D" w14:textId="77777777">
        <w:trPr>
          <w:trHeight w:val="1231"/>
        </w:trPr>
        <w:tc>
          <w:tcPr>
            <w:tcW w:w="2802" w:type="dxa"/>
            <w:vMerge w:val="restart"/>
            <w:tcBorders>
              <w:top w:val="single" w:sz="4" w:space="0" w:color="auto"/>
              <w:left w:val="nil"/>
              <w:bottom w:val="single" w:sz="4" w:space="0" w:color="auto"/>
              <w:right w:val="nil"/>
            </w:tcBorders>
          </w:tcPr>
          <w:p w14:paraId="2E2E8F78" w14:textId="77777777" w:rsidR="001D3356" w:rsidRDefault="00000000">
            <w:pPr>
              <w:spacing w:before="120" w:after="120" w:line="276" w:lineRule="auto"/>
              <w:jc w:val="both"/>
              <w:rPr>
                <w:b/>
                <w:i/>
              </w:rPr>
            </w:pPr>
            <w:r>
              <w:rPr>
                <w:b/>
                <w:i/>
              </w:rPr>
              <w:t>Keywords:</w:t>
            </w:r>
          </w:p>
          <w:p w14:paraId="4B42C49C" w14:textId="303FE295" w:rsidR="001D3356" w:rsidRDefault="00000000">
            <w:pPr>
              <w:spacing w:line="276" w:lineRule="auto"/>
            </w:pPr>
            <w:r>
              <w:t>Customer Behavior; Brand Image</w:t>
            </w:r>
            <w:r w:rsidR="004E31FD">
              <w:t xml:space="preserve">; </w:t>
            </w:r>
            <w:r w:rsidR="004E31FD" w:rsidRPr="004E31FD">
              <w:t>Product Quality</w:t>
            </w:r>
          </w:p>
        </w:tc>
        <w:tc>
          <w:tcPr>
            <w:tcW w:w="283" w:type="dxa"/>
            <w:vMerge/>
            <w:tcBorders>
              <w:top w:val="nil"/>
              <w:left w:val="nil"/>
              <w:bottom w:val="nil"/>
              <w:right w:val="nil"/>
            </w:tcBorders>
          </w:tcPr>
          <w:p w14:paraId="5B7D8297" w14:textId="77777777" w:rsidR="001D3356" w:rsidRDefault="001D3356">
            <w:pPr>
              <w:spacing w:before="120" w:line="276" w:lineRule="auto"/>
              <w:jc w:val="both"/>
            </w:pPr>
          </w:p>
        </w:tc>
        <w:tc>
          <w:tcPr>
            <w:tcW w:w="5812" w:type="dxa"/>
            <w:vMerge/>
            <w:tcBorders>
              <w:top w:val="nil"/>
              <w:left w:val="nil"/>
              <w:bottom w:val="nil"/>
              <w:right w:val="nil"/>
            </w:tcBorders>
          </w:tcPr>
          <w:p w14:paraId="7907C699" w14:textId="77777777" w:rsidR="001D3356" w:rsidRDefault="001D3356">
            <w:pPr>
              <w:spacing w:before="120" w:line="276" w:lineRule="auto"/>
              <w:jc w:val="both"/>
              <w:rPr>
                <w:iCs/>
                <w:color w:val="000000"/>
                <w:sz w:val="18"/>
                <w:szCs w:val="18"/>
              </w:rPr>
            </w:pPr>
          </w:p>
        </w:tc>
      </w:tr>
      <w:tr w:rsidR="001D3356" w14:paraId="67DE89E9" w14:textId="77777777">
        <w:trPr>
          <w:trHeight w:val="866"/>
        </w:trPr>
        <w:tc>
          <w:tcPr>
            <w:tcW w:w="2802" w:type="dxa"/>
            <w:vMerge/>
            <w:tcBorders>
              <w:top w:val="single" w:sz="4" w:space="0" w:color="auto"/>
              <w:left w:val="nil"/>
              <w:bottom w:val="single" w:sz="4" w:space="0" w:color="auto"/>
              <w:right w:val="nil"/>
            </w:tcBorders>
          </w:tcPr>
          <w:p w14:paraId="4BD3B293" w14:textId="77777777" w:rsidR="001D3356" w:rsidRDefault="001D3356">
            <w:pPr>
              <w:spacing w:before="120" w:after="120" w:line="276" w:lineRule="auto"/>
              <w:jc w:val="both"/>
              <w:rPr>
                <w:b/>
                <w:i/>
              </w:rPr>
            </w:pPr>
          </w:p>
        </w:tc>
        <w:tc>
          <w:tcPr>
            <w:tcW w:w="283" w:type="dxa"/>
            <w:vMerge/>
            <w:tcBorders>
              <w:top w:val="nil"/>
              <w:left w:val="nil"/>
              <w:bottom w:val="nil"/>
              <w:right w:val="nil"/>
            </w:tcBorders>
          </w:tcPr>
          <w:p w14:paraId="13769369" w14:textId="77777777" w:rsidR="001D3356" w:rsidRDefault="001D3356">
            <w:pPr>
              <w:spacing w:before="120" w:line="276" w:lineRule="auto"/>
              <w:jc w:val="both"/>
            </w:pPr>
          </w:p>
        </w:tc>
        <w:tc>
          <w:tcPr>
            <w:tcW w:w="5812" w:type="dxa"/>
            <w:tcBorders>
              <w:top w:val="nil"/>
              <w:left w:val="nil"/>
              <w:bottom w:val="single" w:sz="4" w:space="0" w:color="auto"/>
              <w:right w:val="nil"/>
            </w:tcBorders>
          </w:tcPr>
          <w:p w14:paraId="4701ED19" w14:textId="77777777" w:rsidR="001D3356" w:rsidRDefault="00000000">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2FF1BCA3" w14:textId="77777777" w:rsidR="001D3356" w:rsidRDefault="00000000">
            <w:pPr>
              <w:spacing w:before="120" w:after="120" w:line="276" w:lineRule="auto"/>
              <w:jc w:val="right"/>
              <w:rPr>
                <w:i/>
                <w:iCs/>
                <w:color w:val="000000"/>
                <w:sz w:val="18"/>
                <w:szCs w:val="18"/>
              </w:rPr>
            </w:pPr>
            <w:r>
              <w:rPr>
                <w:noProof/>
              </w:rPr>
              <w:drawing>
                <wp:inline distT="0" distB="0" distL="0" distR="0" wp14:anchorId="59AF85ED" wp14:editId="3DB1CC9C">
                  <wp:extent cx="1056005" cy="371475"/>
                  <wp:effectExtent l="0" t="0" r="0" b="0"/>
                  <wp:docPr id="102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srcRect/>
                          <a:stretch/>
                        </pic:blipFill>
                        <pic:spPr>
                          <a:xfrm>
                            <a:off x="0" y="0"/>
                            <a:ext cx="1056005" cy="371475"/>
                          </a:xfrm>
                          <a:prstGeom prst="rect">
                            <a:avLst/>
                          </a:prstGeom>
                        </pic:spPr>
                      </pic:pic>
                    </a:graphicData>
                  </a:graphic>
                </wp:inline>
              </w:drawing>
            </w:r>
          </w:p>
        </w:tc>
      </w:tr>
      <w:tr w:rsidR="001D3356" w14:paraId="0E1B2704" w14:textId="77777777">
        <w:trPr>
          <w:trHeight w:val="2060"/>
        </w:trPr>
        <w:tc>
          <w:tcPr>
            <w:tcW w:w="8897" w:type="dxa"/>
            <w:gridSpan w:val="3"/>
            <w:tcBorders>
              <w:top w:val="nil"/>
              <w:left w:val="nil"/>
              <w:bottom w:val="double" w:sz="4" w:space="0" w:color="auto"/>
              <w:right w:val="nil"/>
            </w:tcBorders>
          </w:tcPr>
          <w:p w14:paraId="5F5DA189" w14:textId="77777777" w:rsidR="001D3356" w:rsidRDefault="00000000">
            <w:pPr>
              <w:spacing w:before="120" w:after="120" w:line="276" w:lineRule="auto"/>
              <w:rPr>
                <w:b/>
                <w:i/>
              </w:rPr>
            </w:pPr>
            <w:r>
              <w:rPr>
                <w:b/>
                <w:i/>
              </w:rPr>
              <w:t>Corresponding Author:</w:t>
            </w:r>
          </w:p>
          <w:p w14:paraId="260AE235" w14:textId="33DABFEC" w:rsidR="001D3356" w:rsidRDefault="00000000">
            <w:pPr>
              <w:spacing w:line="276" w:lineRule="auto"/>
            </w:pPr>
            <w:r>
              <w:t>Name</w:t>
            </w:r>
            <w:r w:rsidR="004E31FD">
              <w:t xml:space="preserve">: </w:t>
            </w:r>
            <w:proofErr w:type="spellStart"/>
            <w:r w:rsidR="004E31FD" w:rsidRPr="004E31FD">
              <w:t>Aprilina</w:t>
            </w:r>
            <w:proofErr w:type="spellEnd"/>
            <w:r w:rsidR="004E31FD" w:rsidRPr="004E31FD">
              <w:t xml:space="preserve"> Putri</w:t>
            </w:r>
          </w:p>
          <w:p w14:paraId="0A94D224" w14:textId="6ECE9C87" w:rsidR="001D3356" w:rsidRDefault="00000000">
            <w:pPr>
              <w:spacing w:line="276" w:lineRule="auto"/>
            </w:pPr>
            <w:r>
              <w:t>Department</w:t>
            </w:r>
            <w:r w:rsidR="004E31FD">
              <w:t>: Management</w:t>
            </w:r>
          </w:p>
          <w:p w14:paraId="0A4E5C1D" w14:textId="08957441" w:rsidR="001D3356" w:rsidRDefault="00000000">
            <w:pPr>
              <w:spacing w:line="276" w:lineRule="auto"/>
              <w:rPr>
                <w:sz w:val="22"/>
                <w:szCs w:val="22"/>
              </w:rPr>
            </w:pPr>
            <w:r>
              <w:t>Faculty</w:t>
            </w:r>
            <w:r w:rsidR="004E31FD">
              <w:t xml:space="preserve">: </w:t>
            </w:r>
            <w:r w:rsidR="004E31FD" w:rsidRPr="004E31FD">
              <w:t>Faculty of Islamic Economics and Business</w:t>
            </w:r>
          </w:p>
          <w:p w14:paraId="7B307E60" w14:textId="7E918633" w:rsidR="001D3356" w:rsidRDefault="00000000">
            <w:pPr>
              <w:spacing w:line="276" w:lineRule="auto"/>
            </w:pPr>
            <w:proofErr w:type="spellStart"/>
            <w:r>
              <w:t>Afiliasi</w:t>
            </w:r>
            <w:proofErr w:type="spellEnd"/>
            <w:r w:rsidR="004E31FD">
              <w:t xml:space="preserve">: </w:t>
            </w:r>
            <w:r w:rsidR="004E31FD" w:rsidRPr="004E31FD">
              <w:t>Universitas Islam Negeri Sumatera Utara</w:t>
            </w:r>
          </w:p>
          <w:p w14:paraId="0E6D31C6" w14:textId="77C39505" w:rsidR="001D3356" w:rsidRDefault="00000000">
            <w:pPr>
              <w:spacing w:line="276" w:lineRule="auto"/>
              <w:rPr>
                <w:color w:val="000000"/>
                <w:sz w:val="18"/>
                <w:szCs w:val="18"/>
              </w:rPr>
            </w:pPr>
            <w:r>
              <w:t xml:space="preserve">Email: </w:t>
            </w:r>
            <w:r w:rsidR="004E31FD" w:rsidRPr="00C26E32">
              <w:t>aprilinaputri25@gmail.com</w:t>
            </w:r>
            <w:r w:rsidR="004E31FD">
              <w:t xml:space="preserve"> </w:t>
            </w:r>
          </w:p>
        </w:tc>
      </w:tr>
    </w:tbl>
    <w:p w14:paraId="42B46CC4" w14:textId="77777777" w:rsidR="001D3356" w:rsidRDefault="001D3356">
      <w:pPr>
        <w:spacing w:line="276" w:lineRule="auto"/>
        <w:jc w:val="both"/>
      </w:pPr>
    </w:p>
    <w:p w14:paraId="1EBD6A68" w14:textId="77777777" w:rsidR="001D3356" w:rsidRDefault="00000000">
      <w:pPr>
        <w:numPr>
          <w:ilvl w:val="0"/>
          <w:numId w:val="4"/>
        </w:numPr>
        <w:tabs>
          <w:tab w:val="left" w:pos="426"/>
        </w:tabs>
        <w:spacing w:line="276" w:lineRule="auto"/>
        <w:ind w:left="426" w:hanging="426"/>
        <w:rPr>
          <w:b/>
          <w:bCs/>
          <w:sz w:val="24"/>
          <w:szCs w:val="24"/>
          <w:lang w:val="id-ID"/>
        </w:rPr>
      </w:pPr>
      <w:r>
        <w:rPr>
          <w:b/>
          <w:bCs/>
          <w:sz w:val="24"/>
          <w:szCs w:val="24"/>
        </w:rPr>
        <w:t xml:space="preserve">INTRODUCTION </w:t>
      </w:r>
    </w:p>
    <w:p w14:paraId="63A7CB08" w14:textId="77777777" w:rsidR="001D3356" w:rsidRDefault="00000000">
      <w:pPr>
        <w:tabs>
          <w:tab w:val="left" w:pos="426"/>
        </w:tabs>
        <w:spacing w:line="276" w:lineRule="auto"/>
        <w:jc w:val="both"/>
        <w:rPr>
          <w:sz w:val="22"/>
          <w:szCs w:val="22"/>
        </w:rPr>
      </w:pPr>
      <w:r>
        <w:rPr>
          <w:b/>
          <w:bCs/>
          <w:sz w:val="24"/>
          <w:szCs w:val="24"/>
        </w:rPr>
        <w:tab/>
      </w:r>
      <w:r>
        <w:rPr>
          <w:b/>
          <w:bCs/>
          <w:sz w:val="24"/>
          <w:szCs w:val="24"/>
        </w:rPr>
        <w:tab/>
      </w:r>
      <w:r>
        <w:rPr>
          <w:spacing w:val="-2"/>
          <w:sz w:val="22"/>
          <w:szCs w:val="22"/>
        </w:rPr>
        <w:t xml:space="preserve">In the international marketing literature, previous research in various developing countries generally shows that consumers have a strong and positive preference for products and brands from countries with a positive image. The country's image of origin plays a critical role in consumers' evaluation of foreign brands (Han, 2020). Consumer–brand relationships can be positive or negative and are characterized by positive emotions such as admiration, loyalty, love, like, herding, or negative emotions such as hate, anti-branding, and avoidance (Fetscherin et al., 2019). </w:t>
      </w:r>
      <w:r>
        <w:rPr>
          <w:sz w:val="22"/>
          <w:szCs w:val="22"/>
        </w:rPr>
        <w:t xml:space="preserve">One important aspect of the consumer-brand relationship is the Self-Brand Connection (SBC), which is defined as "the extent to which an individual has incorporated a brand into their self-concept" (Escalas &amp; Bettman, 2003, p. 329). Researchers have presented a variety of drivers of this relationship and brand managers focus </w:t>
      </w:r>
      <w:r>
        <w:rPr>
          <w:sz w:val="22"/>
          <w:szCs w:val="22"/>
        </w:rPr>
        <w:lastRenderedPageBreak/>
        <w:t>on strengthening the brand's relationship with consumers. Brands are important instruments in consumer lives and determine the intimate relationship between consumers and brands (Sichtmann et al., 2019). However, previous research on the causes and consequences of SBCs is still inadequate because it has received little attention from researchers, so there is still much that has not been revealed (Moliner et al., 2018).</w:t>
      </w:r>
    </w:p>
    <w:p w14:paraId="3724D50A" w14:textId="77777777" w:rsidR="001D3356" w:rsidRDefault="00000000">
      <w:pPr>
        <w:tabs>
          <w:tab w:val="left" w:pos="426"/>
        </w:tabs>
        <w:spacing w:line="276" w:lineRule="auto"/>
        <w:jc w:val="both"/>
        <w:rPr>
          <w:sz w:val="22"/>
          <w:szCs w:val="22"/>
        </w:rPr>
      </w:pPr>
      <w:r>
        <w:rPr>
          <w:sz w:val="22"/>
          <w:szCs w:val="22"/>
        </w:rPr>
        <w:tab/>
      </w:r>
      <w:r>
        <w:rPr>
          <w:sz w:val="22"/>
          <w:szCs w:val="22"/>
        </w:rPr>
        <w:tab/>
        <w:t xml:space="preserve">Consumers in developing countries are increasingly familiar with and prefer foreign products and brands to meet their tertiary needs (Zakaria et al., 2020), including beauty consumption. However, despite many previous studies that have tested beauty consumption (Wallström et al. 2010; Koubaa et al., 2011; Sobh, 2011; Kim et al., 2013; Pileliene &amp; Ontaitė-Petkevičincė, 2014; Hassani et al., 2015; Alserhan et al., 2015; Moslehpour et al. 2017; Ahmad et al., 2015; Pudaruth et al., 2015; Xiao et al., 2016; Ghazali et al., 2017; Assawavicchairoj &amp; Taghian, 2017; Madan et al. 2018; Ahmad &amp; Omar, 2018; El Jurdi &amp; Smith, 2018; Li et al., 2019; Kang et al., 2020; Clemes et al., 2020; Majeed et al., 2020; Kadirov et al., 2020), no one has tested the role of the brand image in consumer relations with foreign brands of beauty products. Consumers make inferences about all brands from a country based on their image or stereotypes about the country (Mandler et al., 2017). </w:t>
      </w:r>
    </w:p>
    <w:p w14:paraId="1B0DA006" w14:textId="77777777" w:rsidR="001D3356" w:rsidRDefault="00000000">
      <w:pPr>
        <w:tabs>
          <w:tab w:val="left" w:pos="426"/>
        </w:tabs>
        <w:spacing w:line="276" w:lineRule="auto"/>
        <w:jc w:val="both"/>
        <w:rPr>
          <w:sz w:val="22"/>
          <w:szCs w:val="22"/>
        </w:rPr>
      </w:pPr>
      <w:r>
        <w:rPr>
          <w:sz w:val="22"/>
          <w:szCs w:val="22"/>
        </w:rPr>
        <w:tab/>
      </w:r>
      <w:r>
        <w:rPr>
          <w:sz w:val="22"/>
          <w:szCs w:val="22"/>
        </w:rPr>
        <w:tab/>
        <w:t>This image creates the halo effect of foreign brands (Sulhaini et al., 2019). There has been no previous study investigating the role of foreign brand halo effect (FBHE) on SBCs in beauty consumption. For the purpose of this research, we focused on Brands from South Korea. The country is very popular with its beauty industry.  According to Mulyaman (2020), South Korean beauty companies are expanding the main target market in ASEAN, namely Indonesia and disseminating Korean culture in the country. South Korean beauty products and brands are becoming increasingly known in Indonesia.</w:t>
      </w:r>
    </w:p>
    <w:p w14:paraId="74C0D347" w14:textId="77777777" w:rsidR="001D3356" w:rsidRDefault="00000000">
      <w:pPr>
        <w:tabs>
          <w:tab w:val="left" w:pos="426"/>
        </w:tabs>
        <w:spacing w:line="276" w:lineRule="auto"/>
        <w:jc w:val="both"/>
        <w:rPr>
          <w:sz w:val="22"/>
          <w:szCs w:val="22"/>
        </w:rPr>
      </w:pPr>
      <w:r>
        <w:rPr>
          <w:sz w:val="22"/>
          <w:szCs w:val="22"/>
        </w:rPr>
        <w:tab/>
      </w:r>
      <w:r>
        <w:rPr>
          <w:sz w:val="22"/>
          <w:szCs w:val="22"/>
        </w:rPr>
        <w:tab/>
        <w:t>In addition, for female consumers, age and beauty become an integral part of their lives and consumption (Barak, 1985), because they want to maintain a youthful appearance as they age. They use every means to look younger and more competitive in everyday life (Yang, 2011). However, no previous research in the literature has examined the role of age in consumers' relationship with beauty product brands. Previous studies have tended to focus on specific age groups, for example, young adult consumers or older adults only, or even ignore age differences in their analyses as if age does not influence consumer behavior towards beauty product brands. However, Chaplin and John (2005) argue that consumer self-concept and consumer-brand relationships evolve with consumer age, and that the relationship grows stronger and deeper as consumers age. Therefore, in this study we included age as a moderation variable.</w:t>
      </w:r>
    </w:p>
    <w:p w14:paraId="2476477A" w14:textId="77777777" w:rsidR="001D3356" w:rsidRDefault="00000000">
      <w:pPr>
        <w:tabs>
          <w:tab w:val="left" w:pos="426"/>
        </w:tabs>
        <w:spacing w:line="276" w:lineRule="auto"/>
        <w:jc w:val="both"/>
        <w:rPr>
          <w:b/>
          <w:bCs/>
          <w:sz w:val="22"/>
          <w:szCs w:val="22"/>
          <w:lang w:val="id-ID"/>
        </w:rPr>
      </w:pPr>
      <w:r>
        <w:rPr>
          <w:sz w:val="22"/>
          <w:szCs w:val="22"/>
        </w:rPr>
        <w:tab/>
      </w:r>
      <w:r>
        <w:rPr>
          <w:sz w:val="22"/>
          <w:szCs w:val="22"/>
        </w:rPr>
        <w:tab/>
        <w:t>Age is a critical demographic variable and influences consumer behavior, including pre-purchase and post-purchase (Moliner-Velázquez et al., 2015). As consumers age, consumer behavior will evolve and change the consumer-brand relationship; Therefore, young adult consumers will exhibit different behaviors than older adult consumers. Velázquez et al. (2015) state that the role of age needs further research. Therefore, this study addresses the research gap in consumer-brand relations and international marketing literature. First, we examined the relationship between beauty awareness (BC) and the halo effect of foreign brands (FBHE) on Self-Brand Connection (SBC). Second, we examine the role of age moderation in this relationship by focusing on two age groups of female consumers in Indonesia: young adults and older adults. Third, this study analyzes the impact of BC, FBHE, and SBC on the willingness to pay more (WTPM). Therefore, we advance discussions on international marketing and consumer-brand relations by investigating beauty consumption.</w:t>
      </w:r>
    </w:p>
    <w:p w14:paraId="68A0D062" w14:textId="77777777" w:rsidR="001D3356" w:rsidRDefault="001D3356">
      <w:pPr>
        <w:pStyle w:val="NoSpacing"/>
        <w:spacing w:line="276" w:lineRule="auto"/>
        <w:ind w:firstLine="567"/>
        <w:jc w:val="both"/>
        <w:rPr>
          <w:rFonts w:ascii="Times New Roman" w:hAnsi="Times New Roman"/>
          <w:iCs/>
          <w:color w:val="000000"/>
        </w:rPr>
      </w:pPr>
    </w:p>
    <w:p w14:paraId="7C674139" w14:textId="77777777" w:rsidR="001D3356" w:rsidRDefault="00000000">
      <w:pPr>
        <w:pStyle w:val="NoSpacing"/>
        <w:spacing w:line="276" w:lineRule="auto"/>
        <w:jc w:val="both"/>
        <w:rPr>
          <w:rFonts w:ascii="Times New Roman" w:hAnsi="Times New Roman"/>
          <w:b/>
          <w:iCs/>
          <w:color w:val="000000"/>
        </w:rPr>
      </w:pPr>
      <w:r>
        <w:rPr>
          <w:rFonts w:ascii="Times New Roman" w:hAnsi="Times New Roman"/>
          <w:b/>
          <w:iCs/>
          <w:color w:val="000000"/>
        </w:rPr>
        <w:lastRenderedPageBreak/>
        <w:t xml:space="preserve">Literature Review </w:t>
      </w:r>
    </w:p>
    <w:p w14:paraId="203E310E" w14:textId="77777777" w:rsidR="001D3356" w:rsidRDefault="00000000">
      <w:pPr>
        <w:widowControl w:val="0"/>
        <w:autoSpaceDE w:val="0"/>
        <w:autoSpaceDN w:val="0"/>
        <w:ind w:right="71"/>
        <w:jc w:val="both"/>
        <w:rPr>
          <w:b/>
          <w:i/>
          <w:sz w:val="22"/>
          <w:szCs w:val="22"/>
        </w:rPr>
      </w:pPr>
      <w:r>
        <w:rPr>
          <w:b/>
          <w:i/>
          <w:sz w:val="22"/>
          <w:szCs w:val="22"/>
        </w:rPr>
        <w:t>Consumer Behavior</w:t>
      </w:r>
    </w:p>
    <w:p w14:paraId="0CEC979E" w14:textId="77777777" w:rsidR="001D3356" w:rsidRDefault="00000000">
      <w:pPr>
        <w:widowControl w:val="0"/>
        <w:autoSpaceDE w:val="0"/>
        <w:autoSpaceDN w:val="0"/>
        <w:ind w:right="71" w:firstLine="720"/>
        <w:jc w:val="both"/>
        <w:rPr>
          <w:sz w:val="22"/>
          <w:szCs w:val="22"/>
        </w:rPr>
      </w:pPr>
      <w:r>
        <w:rPr>
          <w:sz w:val="22"/>
          <w:szCs w:val="22"/>
        </w:rPr>
        <w:t>Consumer behavior is an area of study that delves into how individuals make decisions to buy and use goods or services. In the context of Korea's beauty product purchase decisions, consumer behavior plays an important role, especially in understanding the factors that influence their choices and preferences. Schiffman and Kanuk (2010) stated that consumer behavior includes various aspects, including decision-making influenced by product knowledge, quality perception, and other psychological and social factors. Consumers' knowledge of beauty products, both in terms of information obtained through advertising and personal experience, can influence their decision to choose products that suit their needs and preferences (Kotler &amp; Keller, 2016).</w:t>
      </w:r>
    </w:p>
    <w:p w14:paraId="6B813E58" w14:textId="77777777" w:rsidR="001D3356" w:rsidRDefault="00000000">
      <w:pPr>
        <w:widowControl w:val="0"/>
        <w:autoSpaceDE w:val="0"/>
        <w:autoSpaceDN w:val="0"/>
        <w:ind w:right="71" w:firstLine="720"/>
        <w:jc w:val="both"/>
        <w:rPr>
          <w:sz w:val="22"/>
          <w:szCs w:val="22"/>
        </w:rPr>
      </w:pPr>
      <w:r>
        <w:rPr>
          <w:sz w:val="22"/>
          <w:szCs w:val="22"/>
        </w:rPr>
        <w:t>Consumer knowledge is closely related to how they judge and choose products. In the study of beauty products, this knowledge can include information about the product's ingredients, benefits, and reviews from other users. A deeper knowledge of the product can increase consumer confidence in the quality of the product and influence their decision to make a purchase.</w:t>
      </w:r>
    </w:p>
    <w:p w14:paraId="5841ADC7" w14:textId="77777777" w:rsidR="001D3356" w:rsidRDefault="00000000">
      <w:pPr>
        <w:widowControl w:val="0"/>
        <w:autoSpaceDE w:val="0"/>
        <w:autoSpaceDN w:val="0"/>
        <w:ind w:right="71"/>
        <w:jc w:val="both"/>
        <w:rPr>
          <w:b/>
          <w:i/>
          <w:sz w:val="22"/>
          <w:szCs w:val="22"/>
        </w:rPr>
      </w:pPr>
      <w:r>
        <w:rPr>
          <w:b/>
          <w:i/>
          <w:sz w:val="22"/>
          <w:szCs w:val="22"/>
        </w:rPr>
        <w:t>Brand Image</w:t>
      </w:r>
    </w:p>
    <w:p w14:paraId="6AB49637" w14:textId="77777777" w:rsidR="001D3356" w:rsidRDefault="00000000">
      <w:pPr>
        <w:pStyle w:val="NoSpacing"/>
        <w:spacing w:after="240" w:line="276" w:lineRule="auto"/>
        <w:ind w:firstLine="720"/>
        <w:jc w:val="both"/>
        <w:rPr>
          <w:rFonts w:ascii="Times New Roman" w:hAnsi="Times New Roman"/>
          <w:color w:val="000000"/>
        </w:rPr>
      </w:pPr>
      <w:r>
        <w:rPr>
          <w:rFonts w:ascii="Times New Roman" w:eastAsia="Times New Roman" w:hAnsi="Times New Roman"/>
        </w:rPr>
        <w:t>Brand image is an important concept in marketing that refers to the perception and assessment of consumers towards a brand based on various experiences and information received (Kim &amp; Sullivan, 2019). A positive brand image can provide a competitive advantage and increase consumer loyalty. In the context of Korean beauty products, brand image plays a key role in influencing consumer purchasing decisions, especially among female students who tend to be more sensitive to product trends and quality. Overall, understanding the brand image and how factors such as consumer knowledge and perception of product quality affect that image is crucial in designing an effective marketing strategy.</w:t>
      </w:r>
    </w:p>
    <w:p w14:paraId="2CF39D8A" w14:textId="77777777" w:rsidR="001D3356" w:rsidRDefault="00000000">
      <w:pPr>
        <w:numPr>
          <w:ilvl w:val="0"/>
          <w:numId w:val="4"/>
        </w:numPr>
        <w:tabs>
          <w:tab w:val="left" w:pos="426"/>
        </w:tabs>
        <w:spacing w:before="240" w:line="276" w:lineRule="auto"/>
        <w:ind w:left="426" w:hanging="426"/>
        <w:rPr>
          <w:b/>
          <w:bCs/>
          <w:sz w:val="22"/>
          <w:szCs w:val="22"/>
          <w:lang w:val="id-ID"/>
        </w:rPr>
      </w:pPr>
      <w:r>
        <w:rPr>
          <w:b/>
          <w:bCs/>
          <w:sz w:val="22"/>
          <w:szCs w:val="22"/>
        </w:rPr>
        <w:t xml:space="preserve">METHOD </w:t>
      </w:r>
      <w:r>
        <w:rPr>
          <w:b/>
          <w:bCs/>
          <w:sz w:val="24"/>
          <w:szCs w:val="24"/>
        </w:rPr>
        <w:t>(12 pt)</w:t>
      </w:r>
    </w:p>
    <w:p w14:paraId="18EF7DA5" w14:textId="25D7488A" w:rsidR="001D3356" w:rsidRDefault="00000000">
      <w:pPr>
        <w:pStyle w:val="Heading2"/>
        <w:tabs>
          <w:tab w:val="left" w:pos="709"/>
        </w:tabs>
        <w:spacing w:before="0"/>
        <w:ind w:right="71"/>
        <w:jc w:val="both"/>
        <w:rPr>
          <w:rFonts w:ascii="Times New Roman" w:hAnsi="Times New Roman" w:cs="Times New Roman"/>
          <w:b w:val="0"/>
          <w:i w:val="0"/>
          <w:spacing w:val="-2"/>
          <w:sz w:val="22"/>
          <w:szCs w:val="22"/>
        </w:rPr>
      </w:pPr>
      <w:r>
        <w:rPr>
          <w:rFonts w:ascii="Times New Roman" w:hAnsi="Times New Roman" w:cs="Times New Roman"/>
          <w:b w:val="0"/>
          <w:i w:val="0"/>
          <w:spacing w:val="-2"/>
          <w:sz w:val="22"/>
          <w:szCs w:val="22"/>
        </w:rPr>
        <w:tab/>
        <w:t xml:space="preserve">The article uses a situational approach, which emphasizes the analysis of the specific context and conditions that influence the purchase decision of Korean beauty products among North Sumatra State Islamic University (UINSU) students. This approach is done by observing how consumer knowledge and perception of product quality in a given situation, such as a campus event or product promotion, influence purchasing decisions. Data were collected through questionnaires disseminated on relevant </w:t>
      </w:r>
      <w:r w:rsidRPr="004E31FD">
        <w:rPr>
          <w:rFonts w:ascii="Times New Roman" w:hAnsi="Times New Roman" w:cs="Times New Roman"/>
          <w:b w:val="0"/>
          <w:i w:val="0"/>
          <w:spacing w:val="-2"/>
          <w:sz w:val="22"/>
          <w:szCs w:val="22"/>
        </w:rPr>
        <w:t xml:space="preserve">situations, as well as in-depth interviews to gain a further understanding of the factors at play. </w:t>
      </w:r>
    </w:p>
    <w:p w14:paraId="4BD694F1" w14:textId="77777777" w:rsidR="004E31FD" w:rsidRPr="004E31FD" w:rsidRDefault="004E31FD" w:rsidP="004E31FD"/>
    <w:p w14:paraId="36B3D37F" w14:textId="77777777" w:rsidR="001D3356" w:rsidRDefault="00000000">
      <w:pPr>
        <w:pStyle w:val="BodyText"/>
        <w:ind w:right="71"/>
        <w:jc w:val="both"/>
        <w:rPr>
          <w:b/>
          <w:bCs/>
          <w:sz w:val="22"/>
          <w:szCs w:val="22"/>
        </w:rPr>
      </w:pPr>
      <w:r>
        <w:rPr>
          <w:b/>
          <w:bCs/>
          <w:sz w:val="22"/>
          <w:szCs w:val="22"/>
        </w:rPr>
        <w:t>Surveys and Samples</w:t>
      </w:r>
    </w:p>
    <w:p w14:paraId="2BC57D97" w14:textId="77777777" w:rsidR="001D3356" w:rsidRDefault="00000000">
      <w:pPr>
        <w:pStyle w:val="BodyText"/>
        <w:ind w:right="71" w:firstLine="720"/>
        <w:jc w:val="both"/>
        <w:rPr>
          <w:b/>
          <w:bCs/>
          <w:sz w:val="22"/>
          <w:szCs w:val="22"/>
          <w:lang w:val="en-US"/>
        </w:rPr>
      </w:pPr>
      <w:r>
        <w:rPr>
          <w:sz w:val="22"/>
          <w:szCs w:val="22"/>
        </w:rPr>
        <w:t>Data collection for this study was carried out through an online questionnaire using Google Forms. Online questionnaires provide various benefits (An et al., 2018) such as cost and time efficiency, convenience for respondents, avoiding data input errors, etc. The total data sample consisted of 100 UINSU students. For the purposes of this study, age was measured on an interval scale (i.e. "17–20"; "21–25"; "26–30" and &gt;31).</w:t>
      </w:r>
    </w:p>
    <w:p w14:paraId="526FC426" w14:textId="77777777" w:rsidR="001D3356" w:rsidRDefault="001D3356">
      <w:pPr>
        <w:pStyle w:val="BodyText"/>
        <w:spacing w:before="29" w:line="369" w:lineRule="auto"/>
        <w:ind w:right="71"/>
        <w:jc w:val="both"/>
        <w:rPr>
          <w:sz w:val="22"/>
          <w:szCs w:val="22"/>
        </w:rPr>
      </w:pPr>
    </w:p>
    <w:p w14:paraId="24C4CBC9" w14:textId="77777777" w:rsidR="001D3356" w:rsidRDefault="00000000">
      <w:pPr>
        <w:pStyle w:val="BodyText"/>
        <w:ind w:right="71"/>
        <w:jc w:val="center"/>
        <w:rPr>
          <w:sz w:val="22"/>
          <w:szCs w:val="22"/>
        </w:rPr>
      </w:pPr>
      <w:r>
        <w:rPr>
          <w:noProof/>
          <w:sz w:val="22"/>
          <w:szCs w:val="22"/>
          <w:lang w:val="en-US"/>
        </w:rPr>
        <w:lastRenderedPageBreak/>
        <w:drawing>
          <wp:anchor distT="0" distB="0" distL="0" distR="0" simplePos="0" relativeHeight="2" behindDoc="1" locked="0" layoutInCell="1" allowOverlap="1" wp14:anchorId="69034BA5" wp14:editId="3E79E404">
            <wp:simplePos x="0" y="0"/>
            <wp:positionH relativeFrom="page">
              <wp:posOffset>1187195</wp:posOffset>
            </wp:positionH>
            <wp:positionV relativeFrom="paragraph">
              <wp:posOffset>88340</wp:posOffset>
            </wp:positionV>
            <wp:extent cx="5385337" cy="2771775"/>
            <wp:effectExtent l="0" t="0" r="0" b="0"/>
            <wp:wrapTopAndBottom/>
            <wp:docPr id="10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rcRect/>
                    <a:stretch/>
                  </pic:blipFill>
                  <pic:spPr>
                    <a:xfrm>
                      <a:off x="0" y="0"/>
                      <a:ext cx="5385337" cy="2771775"/>
                    </a:xfrm>
                    <a:prstGeom prst="rect">
                      <a:avLst/>
                    </a:prstGeom>
                  </pic:spPr>
                </pic:pic>
              </a:graphicData>
            </a:graphic>
            <wp14:sizeRelH relativeFrom="margin">
              <wp14:pctWidth>0</wp14:pctWidth>
            </wp14:sizeRelH>
            <wp14:sizeRelV relativeFrom="margin">
              <wp14:pctHeight>0</wp14:pctHeight>
            </wp14:sizeRelV>
          </wp:anchor>
        </w:drawing>
      </w:r>
      <w:r>
        <w:rPr>
          <w:b/>
          <w:color w:val="000000"/>
          <w:spacing w:val="10"/>
          <w:w w:val="104"/>
          <w:sz w:val="22"/>
          <w:szCs w:val="22"/>
        </w:rPr>
        <w:t>FIGURE</w:t>
      </w:r>
      <w:r>
        <w:rPr>
          <w:b/>
          <w:color w:val="000000"/>
          <w:spacing w:val="13"/>
          <w:w w:val="104"/>
          <w:sz w:val="22"/>
          <w:szCs w:val="22"/>
        </w:rPr>
        <w:t xml:space="preserve"> </w:t>
      </w:r>
      <w:r>
        <w:rPr>
          <w:b/>
          <w:color w:val="000000"/>
          <w:spacing w:val="-10"/>
          <w:w w:val="104"/>
          <w:sz w:val="22"/>
          <w:szCs w:val="22"/>
        </w:rPr>
        <w:t>1</w:t>
      </w:r>
    </w:p>
    <w:p w14:paraId="2CCA99AA" w14:textId="77777777" w:rsidR="001D3356" w:rsidRDefault="00000000">
      <w:pPr>
        <w:pStyle w:val="BodyText"/>
        <w:spacing w:before="174"/>
        <w:ind w:right="71" w:firstLine="720"/>
        <w:jc w:val="both"/>
        <w:rPr>
          <w:spacing w:val="-2"/>
          <w:sz w:val="22"/>
          <w:szCs w:val="22"/>
        </w:rPr>
      </w:pPr>
      <w:r>
        <w:rPr>
          <w:spacing w:val="-2"/>
          <w:sz w:val="22"/>
          <w:szCs w:val="22"/>
        </w:rPr>
        <w:t>The total sample was divided into two groups where 17–25 were considered a group of young adult consumers while &gt;25 were classified as adult consumers. Young consumers make up 52.6% of our sample and adult consumers make up 47.4%.</w:t>
      </w:r>
    </w:p>
    <w:p w14:paraId="7375D8B6" w14:textId="77777777" w:rsidR="001D3356" w:rsidRDefault="00000000">
      <w:pPr>
        <w:pStyle w:val="BodyText"/>
        <w:spacing w:before="28"/>
        <w:ind w:right="71"/>
        <w:jc w:val="both"/>
        <w:rPr>
          <w:b/>
          <w:sz w:val="22"/>
          <w:szCs w:val="22"/>
        </w:rPr>
      </w:pPr>
      <w:r>
        <w:rPr>
          <w:b/>
          <w:sz w:val="22"/>
          <w:szCs w:val="22"/>
        </w:rPr>
        <w:t>Instruments and Measurements</w:t>
      </w:r>
    </w:p>
    <w:p w14:paraId="0B07A2AD" w14:textId="77777777" w:rsidR="001D3356" w:rsidRDefault="00000000">
      <w:pPr>
        <w:pStyle w:val="BodyText"/>
        <w:spacing w:before="28"/>
        <w:ind w:right="71" w:firstLine="720"/>
        <w:jc w:val="both"/>
        <w:rPr>
          <w:sz w:val="22"/>
          <w:szCs w:val="22"/>
        </w:rPr>
      </w:pPr>
      <w:r>
        <w:rPr>
          <w:sz w:val="22"/>
          <w:szCs w:val="22"/>
        </w:rPr>
        <w:t>We carefully prepared and developed the questionnaire for this survey in two stages. First, we review the existing literature with a focus on building a deep understanding of the nature of each variable and identifying its dimensions. In particular, we adopted and adapted items that had been developed by previous researchers for the SBC (Escallas &amp; Bettman, 2003) and FBHE variables (Sulhaini et al., 2019). To measure SBC, we focused on two of the most popular K-beauty brands, namely COSRX and INNISFREE. For the study, items to measure BC were developed based on a qualitative study by McCabe et al. (2017). Second, we conducted interviews with three young adult consumers and three adult consumers. This stage allows us to revise and adjust the questions that have been developed in the first stage. For the measurement, all variables used a Likert scale with a choice of 0–7 points, where 0 was given for strongly disagreeing and 7 was given for strongly agreeing. Shop.</w:t>
      </w:r>
    </w:p>
    <w:p w14:paraId="3EF87155" w14:textId="77777777" w:rsidR="001D3356" w:rsidRDefault="00000000">
      <w:pPr>
        <w:pStyle w:val="BodyText"/>
        <w:spacing w:before="28"/>
        <w:ind w:right="71" w:firstLine="720"/>
        <w:jc w:val="both"/>
        <w:rPr>
          <w:sz w:val="22"/>
          <w:szCs w:val="22"/>
        </w:rPr>
      </w:pPr>
      <w:r>
        <w:rPr>
          <w:sz w:val="22"/>
          <w:szCs w:val="22"/>
        </w:rPr>
        <w:t>For this study, items to measure BC were developed based on a qualitative study by McCabe et al. (2017). Second, we conducted interviews with three young adult consumers and three adult consumers. This stage allows us to revise and adjust the questions that have been developed in the first stage. For the measurement, all variables used a Likert scale with a choice of 0–7 points, where 0 was given for strongly disagreeing and 7 was given for strongly agreeing. Strongly agree. The questionnaire statement items are shown in Table 1.</w:t>
      </w:r>
    </w:p>
    <w:p w14:paraId="5C20A358" w14:textId="77777777" w:rsidR="001D3356" w:rsidRDefault="00000000">
      <w:pPr>
        <w:jc w:val="both"/>
        <w:rPr>
          <w:b/>
          <w:sz w:val="22"/>
          <w:szCs w:val="22"/>
          <w:lang w:val="id-ID" w:eastAsia="id-ID"/>
        </w:rPr>
      </w:pPr>
      <w:r>
        <w:rPr>
          <w:b/>
          <w:sz w:val="22"/>
          <w:szCs w:val="22"/>
        </w:rPr>
        <w:br w:type="page"/>
      </w:r>
    </w:p>
    <w:p w14:paraId="6B273C29" w14:textId="77777777" w:rsidR="001D3356" w:rsidRDefault="00000000">
      <w:pPr>
        <w:pStyle w:val="BodyText"/>
        <w:spacing w:before="6" w:after="1"/>
        <w:ind w:right="71"/>
        <w:jc w:val="center"/>
        <w:rPr>
          <w:b/>
          <w:sz w:val="22"/>
          <w:szCs w:val="22"/>
        </w:rPr>
      </w:pPr>
      <w:r>
        <w:rPr>
          <w:b/>
          <w:sz w:val="22"/>
          <w:szCs w:val="22"/>
        </w:rPr>
        <w:lastRenderedPageBreak/>
        <w:t>Table 1</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345"/>
        <w:gridCol w:w="1003"/>
        <w:gridCol w:w="1374"/>
        <w:gridCol w:w="1441"/>
        <w:gridCol w:w="1214"/>
      </w:tblGrid>
      <w:tr w:rsidR="001D3356" w14:paraId="21DC7E3B" w14:textId="77777777">
        <w:trPr>
          <w:trHeight w:val="1269"/>
        </w:trPr>
        <w:tc>
          <w:tcPr>
            <w:tcW w:w="2264" w:type="dxa"/>
          </w:tcPr>
          <w:p w14:paraId="5B3BDEE3" w14:textId="77777777" w:rsidR="001D3356" w:rsidRDefault="00000000">
            <w:pPr>
              <w:pStyle w:val="TableParagraph"/>
              <w:spacing w:before="4"/>
              <w:ind w:left="125" w:right="71"/>
              <w:rPr>
                <w:b/>
              </w:rPr>
            </w:pPr>
            <w:r>
              <w:rPr>
                <w:b/>
                <w:spacing w:val="-4"/>
              </w:rPr>
              <w:t>Items</w:t>
            </w:r>
          </w:p>
        </w:tc>
        <w:tc>
          <w:tcPr>
            <w:tcW w:w="1345" w:type="dxa"/>
          </w:tcPr>
          <w:p w14:paraId="22E29D2F" w14:textId="77777777" w:rsidR="001D3356" w:rsidRDefault="00000000">
            <w:pPr>
              <w:pStyle w:val="TableParagraph"/>
              <w:spacing w:before="4"/>
              <w:ind w:left="339" w:right="71"/>
              <w:rPr>
                <w:b/>
              </w:rPr>
            </w:pPr>
            <w:r>
              <w:rPr>
                <w:b/>
                <w:spacing w:val="-2"/>
              </w:rPr>
              <w:t>Factor</w:t>
            </w:r>
          </w:p>
        </w:tc>
        <w:tc>
          <w:tcPr>
            <w:tcW w:w="1003" w:type="dxa"/>
          </w:tcPr>
          <w:p w14:paraId="6AB4CB12" w14:textId="77777777" w:rsidR="001D3356" w:rsidRDefault="00000000">
            <w:pPr>
              <w:pStyle w:val="TableParagraph"/>
              <w:spacing w:before="4"/>
              <w:ind w:left="12" w:right="71"/>
              <w:rPr>
                <w:b/>
              </w:rPr>
            </w:pPr>
            <w:r>
              <w:rPr>
                <w:b/>
                <w:spacing w:val="-2"/>
              </w:rPr>
              <w:t>Loading</w:t>
            </w:r>
          </w:p>
        </w:tc>
        <w:tc>
          <w:tcPr>
            <w:tcW w:w="1374" w:type="dxa"/>
          </w:tcPr>
          <w:p w14:paraId="34DF57D1" w14:textId="77777777" w:rsidR="001D3356" w:rsidRDefault="00000000">
            <w:pPr>
              <w:pStyle w:val="TableParagraph"/>
              <w:spacing w:before="4" w:line="264" w:lineRule="auto"/>
              <w:ind w:right="71"/>
              <w:rPr>
                <w:b/>
              </w:rPr>
            </w:pPr>
            <w:r>
              <w:rPr>
                <w:b/>
                <w:spacing w:val="-2"/>
              </w:rPr>
              <w:t>Composite Reliability</w:t>
            </w:r>
          </w:p>
        </w:tc>
        <w:tc>
          <w:tcPr>
            <w:tcW w:w="1441" w:type="dxa"/>
          </w:tcPr>
          <w:p w14:paraId="7738C470" w14:textId="77777777" w:rsidR="001D3356" w:rsidRDefault="00000000">
            <w:pPr>
              <w:pStyle w:val="TableParagraph"/>
              <w:spacing w:before="4" w:line="266" w:lineRule="auto"/>
              <w:ind w:left="10" w:right="71"/>
              <w:rPr>
                <w:b/>
              </w:rPr>
            </w:pPr>
            <w:r>
              <w:rPr>
                <w:b/>
                <w:spacing w:val="-2"/>
              </w:rPr>
              <w:t>Average Extracted Variants (AVE)</w:t>
            </w:r>
          </w:p>
        </w:tc>
        <w:tc>
          <w:tcPr>
            <w:tcW w:w="1214" w:type="dxa"/>
          </w:tcPr>
          <w:p w14:paraId="57D502E2" w14:textId="77777777" w:rsidR="001D3356" w:rsidRDefault="00000000">
            <w:pPr>
              <w:pStyle w:val="TableParagraph"/>
              <w:spacing w:before="4" w:line="264" w:lineRule="auto"/>
              <w:ind w:left="125" w:right="71" w:firstLine="184"/>
              <w:rPr>
                <w:b/>
              </w:rPr>
            </w:pPr>
            <w:r>
              <w:rPr>
                <w:b/>
                <w:spacing w:val="-2"/>
              </w:rPr>
              <w:t>Alpha Cronbach</w:t>
            </w:r>
          </w:p>
        </w:tc>
      </w:tr>
      <w:tr w:rsidR="001D3356" w14:paraId="4FB9AC90" w14:textId="77777777">
        <w:trPr>
          <w:trHeight w:val="1551"/>
        </w:trPr>
        <w:tc>
          <w:tcPr>
            <w:tcW w:w="2264" w:type="dxa"/>
          </w:tcPr>
          <w:p w14:paraId="22E36704" w14:textId="77777777" w:rsidR="001D3356" w:rsidRDefault="00000000">
            <w:pPr>
              <w:pStyle w:val="TableParagraph"/>
              <w:spacing w:before="7" w:line="266" w:lineRule="auto"/>
              <w:ind w:right="71"/>
              <w:jc w:val="both"/>
            </w:pPr>
            <w:r>
              <w:t>I always feel more confident after using my beauty products and rituals.</w:t>
            </w:r>
          </w:p>
        </w:tc>
        <w:tc>
          <w:tcPr>
            <w:tcW w:w="1345" w:type="dxa"/>
          </w:tcPr>
          <w:p w14:paraId="08F3C62B" w14:textId="77777777" w:rsidR="001D3356" w:rsidRDefault="00000000">
            <w:pPr>
              <w:pStyle w:val="TableParagraph"/>
              <w:spacing w:before="7" w:line="244" w:lineRule="auto"/>
              <w:ind w:left="157" w:right="71" w:firstLine="103"/>
              <w:jc w:val="both"/>
            </w:pPr>
            <w:r>
              <w:rPr>
                <w:spacing w:val="-2"/>
              </w:rPr>
              <w:t>Beauty Orientation</w:t>
            </w:r>
          </w:p>
        </w:tc>
        <w:tc>
          <w:tcPr>
            <w:tcW w:w="1003" w:type="dxa"/>
          </w:tcPr>
          <w:p w14:paraId="0B061E90" w14:textId="77777777" w:rsidR="001D3356" w:rsidRDefault="00000000">
            <w:pPr>
              <w:pStyle w:val="TableParagraph"/>
              <w:spacing w:before="7"/>
              <w:ind w:left="12" w:right="71"/>
              <w:jc w:val="both"/>
            </w:pPr>
            <w:r>
              <w:rPr>
                <w:spacing w:val="-4"/>
              </w:rPr>
              <w:t>0.866</w:t>
            </w:r>
          </w:p>
        </w:tc>
        <w:tc>
          <w:tcPr>
            <w:tcW w:w="1374" w:type="dxa"/>
          </w:tcPr>
          <w:p w14:paraId="04CF43F9" w14:textId="77777777" w:rsidR="001D3356" w:rsidRDefault="00000000">
            <w:pPr>
              <w:pStyle w:val="TableParagraph"/>
              <w:spacing w:before="7"/>
              <w:ind w:right="71"/>
              <w:jc w:val="both"/>
            </w:pPr>
            <w:r>
              <w:rPr>
                <w:spacing w:val="-2"/>
              </w:rPr>
              <w:t>0.934</w:t>
            </w:r>
          </w:p>
        </w:tc>
        <w:tc>
          <w:tcPr>
            <w:tcW w:w="1441" w:type="dxa"/>
          </w:tcPr>
          <w:p w14:paraId="1E6F49C7" w14:textId="77777777" w:rsidR="001D3356" w:rsidRDefault="00000000">
            <w:pPr>
              <w:pStyle w:val="TableParagraph"/>
              <w:spacing w:before="7"/>
              <w:ind w:left="10" w:right="71"/>
              <w:jc w:val="both"/>
            </w:pPr>
            <w:r>
              <w:rPr>
                <w:spacing w:val="-2"/>
              </w:rPr>
              <w:t>0.672</w:t>
            </w:r>
          </w:p>
        </w:tc>
        <w:tc>
          <w:tcPr>
            <w:tcW w:w="1214" w:type="dxa"/>
          </w:tcPr>
          <w:p w14:paraId="2E6E121D" w14:textId="77777777" w:rsidR="001D3356" w:rsidRDefault="00000000">
            <w:pPr>
              <w:pStyle w:val="TableParagraph"/>
              <w:spacing w:before="7"/>
              <w:ind w:right="71"/>
              <w:jc w:val="both"/>
            </w:pPr>
            <w:r>
              <w:rPr>
                <w:spacing w:val="-4"/>
              </w:rPr>
              <w:t>0.931</w:t>
            </w:r>
          </w:p>
        </w:tc>
      </w:tr>
      <w:tr w:rsidR="001D3356" w14:paraId="5199D575" w14:textId="77777777">
        <w:trPr>
          <w:trHeight w:val="1295"/>
        </w:trPr>
        <w:tc>
          <w:tcPr>
            <w:tcW w:w="2264" w:type="dxa"/>
          </w:tcPr>
          <w:p w14:paraId="211DFBD6" w14:textId="77777777" w:rsidR="001D3356" w:rsidRDefault="00000000">
            <w:pPr>
              <w:pStyle w:val="TableParagraph"/>
              <w:spacing w:line="244" w:lineRule="auto"/>
              <w:ind w:right="71"/>
              <w:jc w:val="both"/>
            </w:pPr>
            <w:r>
              <w:t>I always feel happy after using beauty products and rituals</w:t>
            </w:r>
          </w:p>
          <w:p w14:paraId="16530D52" w14:textId="77777777" w:rsidR="001D3356" w:rsidRDefault="00000000">
            <w:pPr>
              <w:pStyle w:val="TableParagraph"/>
              <w:spacing w:before="7" w:line="233" w:lineRule="exact"/>
              <w:ind w:left="122" w:right="71"/>
              <w:jc w:val="both"/>
            </w:pPr>
            <w:r>
              <w:t>I.</w:t>
            </w:r>
          </w:p>
        </w:tc>
        <w:tc>
          <w:tcPr>
            <w:tcW w:w="1345" w:type="dxa"/>
          </w:tcPr>
          <w:p w14:paraId="0B32CEB2" w14:textId="77777777" w:rsidR="001D3356" w:rsidRDefault="00000000">
            <w:pPr>
              <w:ind w:right="71"/>
              <w:jc w:val="both"/>
              <w:rPr>
                <w:sz w:val="22"/>
                <w:szCs w:val="22"/>
              </w:rPr>
            </w:pPr>
            <w:r>
              <w:rPr>
                <w:spacing w:val="-2"/>
                <w:sz w:val="22"/>
                <w:szCs w:val="22"/>
              </w:rPr>
              <w:t>Beauty Orientation</w:t>
            </w:r>
          </w:p>
        </w:tc>
        <w:tc>
          <w:tcPr>
            <w:tcW w:w="1003" w:type="dxa"/>
          </w:tcPr>
          <w:p w14:paraId="37303637" w14:textId="77777777" w:rsidR="001D3356" w:rsidRDefault="00000000">
            <w:pPr>
              <w:pStyle w:val="TableParagraph"/>
              <w:ind w:left="12" w:right="71"/>
              <w:jc w:val="both"/>
            </w:pPr>
            <w:r>
              <w:rPr>
                <w:spacing w:val="-4"/>
              </w:rPr>
              <w:t>0.839</w:t>
            </w:r>
          </w:p>
        </w:tc>
        <w:tc>
          <w:tcPr>
            <w:tcW w:w="1374" w:type="dxa"/>
          </w:tcPr>
          <w:p w14:paraId="4F9CB49F" w14:textId="77777777" w:rsidR="001D3356" w:rsidRDefault="00000000">
            <w:pPr>
              <w:pStyle w:val="TableParagraph"/>
              <w:ind w:right="71"/>
              <w:jc w:val="both"/>
            </w:pPr>
            <w:r>
              <w:rPr>
                <w:spacing w:val="-10"/>
              </w:rPr>
              <w:t>-</w:t>
            </w:r>
          </w:p>
        </w:tc>
        <w:tc>
          <w:tcPr>
            <w:tcW w:w="1441" w:type="dxa"/>
          </w:tcPr>
          <w:p w14:paraId="49CA0D08" w14:textId="77777777" w:rsidR="001D3356" w:rsidRDefault="00000000">
            <w:pPr>
              <w:pStyle w:val="TableParagraph"/>
              <w:ind w:left="10" w:right="71"/>
              <w:jc w:val="both"/>
            </w:pPr>
            <w:r>
              <w:rPr>
                <w:spacing w:val="-10"/>
              </w:rPr>
              <w:t>-</w:t>
            </w:r>
          </w:p>
        </w:tc>
        <w:tc>
          <w:tcPr>
            <w:tcW w:w="1214" w:type="dxa"/>
          </w:tcPr>
          <w:p w14:paraId="6762BA81" w14:textId="77777777" w:rsidR="001D3356" w:rsidRDefault="00000000">
            <w:pPr>
              <w:pStyle w:val="TableParagraph"/>
              <w:ind w:right="71"/>
              <w:jc w:val="both"/>
            </w:pPr>
            <w:r>
              <w:rPr>
                <w:spacing w:val="-10"/>
              </w:rPr>
              <w:t>-</w:t>
            </w:r>
          </w:p>
        </w:tc>
      </w:tr>
      <w:tr w:rsidR="001D3356" w14:paraId="63FAA3DF" w14:textId="77777777">
        <w:trPr>
          <w:trHeight w:val="777"/>
        </w:trPr>
        <w:tc>
          <w:tcPr>
            <w:tcW w:w="2264" w:type="dxa"/>
          </w:tcPr>
          <w:p w14:paraId="159EC73E" w14:textId="77777777" w:rsidR="001D3356" w:rsidRDefault="00000000">
            <w:pPr>
              <w:pStyle w:val="TableParagraph"/>
              <w:ind w:left="0" w:right="71"/>
              <w:jc w:val="both"/>
            </w:pPr>
            <w:r>
              <w:t>I look good by using beauty products.</w:t>
            </w:r>
          </w:p>
        </w:tc>
        <w:tc>
          <w:tcPr>
            <w:tcW w:w="1345" w:type="dxa"/>
          </w:tcPr>
          <w:p w14:paraId="074E51EB" w14:textId="77777777" w:rsidR="001D3356" w:rsidRDefault="00000000">
            <w:pPr>
              <w:ind w:right="71"/>
              <w:jc w:val="both"/>
              <w:rPr>
                <w:sz w:val="22"/>
                <w:szCs w:val="22"/>
              </w:rPr>
            </w:pPr>
            <w:r>
              <w:rPr>
                <w:spacing w:val="-2"/>
                <w:sz w:val="22"/>
                <w:szCs w:val="22"/>
              </w:rPr>
              <w:t>Beauty Orientation</w:t>
            </w:r>
          </w:p>
        </w:tc>
        <w:tc>
          <w:tcPr>
            <w:tcW w:w="1003" w:type="dxa"/>
          </w:tcPr>
          <w:p w14:paraId="62A96748" w14:textId="77777777" w:rsidR="001D3356" w:rsidRDefault="00000000">
            <w:pPr>
              <w:pStyle w:val="TableParagraph"/>
              <w:ind w:left="12" w:right="71"/>
              <w:jc w:val="both"/>
            </w:pPr>
            <w:r>
              <w:rPr>
                <w:spacing w:val="-4"/>
              </w:rPr>
              <w:t>0.734</w:t>
            </w:r>
          </w:p>
        </w:tc>
        <w:tc>
          <w:tcPr>
            <w:tcW w:w="1374" w:type="dxa"/>
          </w:tcPr>
          <w:p w14:paraId="17EC16DE" w14:textId="77777777" w:rsidR="001D3356" w:rsidRDefault="00000000">
            <w:pPr>
              <w:pStyle w:val="TableParagraph"/>
              <w:ind w:right="71"/>
              <w:jc w:val="both"/>
            </w:pPr>
            <w:r>
              <w:rPr>
                <w:spacing w:val="-10"/>
              </w:rPr>
              <w:t>-</w:t>
            </w:r>
          </w:p>
        </w:tc>
        <w:tc>
          <w:tcPr>
            <w:tcW w:w="1441" w:type="dxa"/>
          </w:tcPr>
          <w:p w14:paraId="5735F0BA" w14:textId="77777777" w:rsidR="001D3356" w:rsidRDefault="00000000">
            <w:pPr>
              <w:pStyle w:val="TableParagraph"/>
              <w:ind w:left="10" w:right="71"/>
              <w:jc w:val="both"/>
            </w:pPr>
            <w:r>
              <w:rPr>
                <w:spacing w:val="-10"/>
              </w:rPr>
              <w:t>-</w:t>
            </w:r>
          </w:p>
        </w:tc>
        <w:tc>
          <w:tcPr>
            <w:tcW w:w="1214" w:type="dxa"/>
          </w:tcPr>
          <w:p w14:paraId="4B61049C" w14:textId="77777777" w:rsidR="001D3356" w:rsidRDefault="00000000">
            <w:pPr>
              <w:pStyle w:val="TableParagraph"/>
              <w:ind w:right="71"/>
              <w:jc w:val="both"/>
            </w:pPr>
            <w:r>
              <w:rPr>
                <w:spacing w:val="-10"/>
              </w:rPr>
              <w:t>-</w:t>
            </w:r>
          </w:p>
        </w:tc>
      </w:tr>
      <w:tr w:rsidR="001D3356" w14:paraId="37F86B14" w14:textId="77777777">
        <w:trPr>
          <w:trHeight w:val="1296"/>
        </w:trPr>
        <w:tc>
          <w:tcPr>
            <w:tcW w:w="2264" w:type="dxa"/>
          </w:tcPr>
          <w:p w14:paraId="216D7BA1" w14:textId="77777777" w:rsidR="001D3356" w:rsidRDefault="00000000">
            <w:pPr>
              <w:pStyle w:val="TableParagraph"/>
              <w:spacing w:before="0" w:line="260" w:lineRule="exact"/>
              <w:ind w:left="0" w:right="71"/>
              <w:jc w:val="both"/>
            </w:pPr>
            <w:r>
              <w:t>I am reluctant to appear in public without beauty products/beauty rituals.</w:t>
            </w:r>
          </w:p>
        </w:tc>
        <w:tc>
          <w:tcPr>
            <w:tcW w:w="1345" w:type="dxa"/>
          </w:tcPr>
          <w:p w14:paraId="002C8C42" w14:textId="77777777" w:rsidR="001D3356" w:rsidRDefault="00000000">
            <w:pPr>
              <w:ind w:right="71"/>
              <w:jc w:val="both"/>
              <w:rPr>
                <w:sz w:val="22"/>
                <w:szCs w:val="22"/>
              </w:rPr>
            </w:pPr>
            <w:r>
              <w:rPr>
                <w:spacing w:val="-2"/>
                <w:sz w:val="22"/>
                <w:szCs w:val="22"/>
              </w:rPr>
              <w:t>Beauty Orientation</w:t>
            </w:r>
          </w:p>
        </w:tc>
        <w:tc>
          <w:tcPr>
            <w:tcW w:w="1003" w:type="dxa"/>
          </w:tcPr>
          <w:p w14:paraId="480D7F5E" w14:textId="77777777" w:rsidR="001D3356" w:rsidRDefault="00000000">
            <w:pPr>
              <w:pStyle w:val="TableParagraph"/>
              <w:spacing w:before="5"/>
              <w:ind w:left="12" w:right="71"/>
              <w:jc w:val="both"/>
            </w:pPr>
            <w:r>
              <w:rPr>
                <w:spacing w:val="-4"/>
              </w:rPr>
              <w:t>0.772</w:t>
            </w:r>
          </w:p>
        </w:tc>
        <w:tc>
          <w:tcPr>
            <w:tcW w:w="1374" w:type="dxa"/>
          </w:tcPr>
          <w:p w14:paraId="48DC0640" w14:textId="77777777" w:rsidR="001D3356" w:rsidRDefault="00000000">
            <w:pPr>
              <w:pStyle w:val="TableParagraph"/>
              <w:spacing w:before="5"/>
              <w:ind w:right="71"/>
              <w:jc w:val="both"/>
            </w:pPr>
            <w:r>
              <w:rPr>
                <w:spacing w:val="-10"/>
              </w:rPr>
              <w:t>-</w:t>
            </w:r>
          </w:p>
        </w:tc>
        <w:tc>
          <w:tcPr>
            <w:tcW w:w="1441" w:type="dxa"/>
          </w:tcPr>
          <w:p w14:paraId="3BE8A9F4" w14:textId="77777777" w:rsidR="001D3356" w:rsidRDefault="00000000">
            <w:pPr>
              <w:pStyle w:val="TableParagraph"/>
              <w:spacing w:before="5"/>
              <w:ind w:left="10" w:right="71"/>
              <w:jc w:val="both"/>
            </w:pPr>
            <w:r>
              <w:rPr>
                <w:spacing w:val="-10"/>
              </w:rPr>
              <w:t>-</w:t>
            </w:r>
          </w:p>
        </w:tc>
        <w:tc>
          <w:tcPr>
            <w:tcW w:w="1214" w:type="dxa"/>
          </w:tcPr>
          <w:p w14:paraId="67CCD446" w14:textId="77777777" w:rsidR="001D3356" w:rsidRDefault="00000000">
            <w:pPr>
              <w:pStyle w:val="TableParagraph"/>
              <w:spacing w:before="5"/>
              <w:ind w:right="71"/>
              <w:jc w:val="both"/>
            </w:pPr>
            <w:r>
              <w:rPr>
                <w:spacing w:val="-10"/>
              </w:rPr>
              <w:t>-</w:t>
            </w:r>
          </w:p>
        </w:tc>
      </w:tr>
      <w:tr w:rsidR="001D3356" w14:paraId="2631CC0C" w14:textId="77777777">
        <w:trPr>
          <w:trHeight w:val="774"/>
        </w:trPr>
        <w:tc>
          <w:tcPr>
            <w:tcW w:w="2264" w:type="dxa"/>
          </w:tcPr>
          <w:p w14:paraId="5030BC73" w14:textId="77777777" w:rsidR="001D3356" w:rsidRDefault="00000000">
            <w:pPr>
              <w:pStyle w:val="TableParagraph"/>
              <w:spacing w:before="2" w:line="234" w:lineRule="exact"/>
              <w:ind w:left="0" w:right="71"/>
              <w:jc w:val="both"/>
            </w:pPr>
            <w:r>
              <w:t>I have to look beautiful in public.</w:t>
            </w:r>
          </w:p>
        </w:tc>
        <w:tc>
          <w:tcPr>
            <w:tcW w:w="1345" w:type="dxa"/>
          </w:tcPr>
          <w:p w14:paraId="78BA6DFA" w14:textId="77777777" w:rsidR="001D3356" w:rsidRDefault="00000000">
            <w:pPr>
              <w:ind w:right="71"/>
              <w:jc w:val="both"/>
              <w:rPr>
                <w:sz w:val="22"/>
                <w:szCs w:val="22"/>
              </w:rPr>
            </w:pPr>
            <w:r>
              <w:rPr>
                <w:spacing w:val="-2"/>
                <w:sz w:val="22"/>
                <w:szCs w:val="22"/>
              </w:rPr>
              <w:t>Beauty Orientation</w:t>
            </w:r>
          </w:p>
        </w:tc>
        <w:tc>
          <w:tcPr>
            <w:tcW w:w="1003" w:type="dxa"/>
          </w:tcPr>
          <w:p w14:paraId="231A06BC" w14:textId="77777777" w:rsidR="001D3356" w:rsidRDefault="00000000">
            <w:pPr>
              <w:pStyle w:val="TableParagraph"/>
              <w:spacing w:before="1"/>
              <w:ind w:left="12" w:right="71"/>
              <w:jc w:val="both"/>
            </w:pPr>
            <w:r>
              <w:rPr>
                <w:spacing w:val="-4"/>
              </w:rPr>
              <w:t>0.904</w:t>
            </w:r>
          </w:p>
        </w:tc>
        <w:tc>
          <w:tcPr>
            <w:tcW w:w="1374" w:type="dxa"/>
          </w:tcPr>
          <w:p w14:paraId="388117F7" w14:textId="77777777" w:rsidR="001D3356" w:rsidRDefault="00000000">
            <w:pPr>
              <w:pStyle w:val="TableParagraph"/>
              <w:spacing w:before="1"/>
              <w:ind w:right="71"/>
              <w:jc w:val="both"/>
            </w:pPr>
            <w:r>
              <w:rPr>
                <w:spacing w:val="-10"/>
              </w:rPr>
              <w:t>-</w:t>
            </w:r>
          </w:p>
        </w:tc>
        <w:tc>
          <w:tcPr>
            <w:tcW w:w="1441" w:type="dxa"/>
          </w:tcPr>
          <w:p w14:paraId="4B812503" w14:textId="77777777" w:rsidR="001D3356" w:rsidRDefault="00000000">
            <w:pPr>
              <w:pStyle w:val="TableParagraph"/>
              <w:spacing w:before="1"/>
              <w:ind w:left="10" w:right="71"/>
              <w:jc w:val="both"/>
            </w:pPr>
            <w:r>
              <w:rPr>
                <w:spacing w:val="-10"/>
              </w:rPr>
              <w:t>-</w:t>
            </w:r>
          </w:p>
        </w:tc>
        <w:tc>
          <w:tcPr>
            <w:tcW w:w="1214" w:type="dxa"/>
          </w:tcPr>
          <w:p w14:paraId="3475CC77" w14:textId="77777777" w:rsidR="001D3356" w:rsidRDefault="00000000">
            <w:pPr>
              <w:pStyle w:val="TableParagraph"/>
              <w:spacing w:before="1"/>
              <w:ind w:right="71"/>
              <w:jc w:val="both"/>
            </w:pPr>
            <w:r>
              <w:rPr>
                <w:spacing w:val="-10"/>
              </w:rPr>
              <w:t>-</w:t>
            </w:r>
          </w:p>
        </w:tc>
      </w:tr>
      <w:tr w:rsidR="001D3356" w14:paraId="147C2BE3" w14:textId="77777777">
        <w:trPr>
          <w:trHeight w:val="777"/>
        </w:trPr>
        <w:tc>
          <w:tcPr>
            <w:tcW w:w="2264" w:type="dxa"/>
          </w:tcPr>
          <w:p w14:paraId="5F6DA187" w14:textId="77777777" w:rsidR="001D3356" w:rsidRDefault="00000000">
            <w:pPr>
              <w:pStyle w:val="TableParagraph"/>
              <w:spacing w:before="0" w:line="260" w:lineRule="exact"/>
              <w:ind w:right="71"/>
              <w:jc w:val="both"/>
            </w:pPr>
            <w:r>
              <w:t>All brands from this country have high values.</w:t>
            </w:r>
          </w:p>
        </w:tc>
        <w:tc>
          <w:tcPr>
            <w:tcW w:w="1345" w:type="dxa"/>
          </w:tcPr>
          <w:p w14:paraId="0BDAA897" w14:textId="77777777" w:rsidR="001D3356" w:rsidRDefault="00000000">
            <w:pPr>
              <w:pStyle w:val="TableParagraph"/>
              <w:spacing w:before="0" w:line="260" w:lineRule="exact"/>
              <w:ind w:left="153" w:right="71"/>
              <w:jc w:val="both"/>
            </w:pPr>
            <w:r>
              <w:t>Foreign Brand Halo Effect</w:t>
            </w:r>
          </w:p>
        </w:tc>
        <w:tc>
          <w:tcPr>
            <w:tcW w:w="1003" w:type="dxa"/>
          </w:tcPr>
          <w:p w14:paraId="5E825596" w14:textId="77777777" w:rsidR="001D3356" w:rsidRDefault="00000000">
            <w:pPr>
              <w:pStyle w:val="TableParagraph"/>
              <w:spacing w:before="4"/>
              <w:ind w:left="12" w:right="71"/>
              <w:jc w:val="both"/>
            </w:pPr>
            <w:r>
              <w:rPr>
                <w:spacing w:val="-4"/>
              </w:rPr>
              <w:t>0.924</w:t>
            </w:r>
          </w:p>
        </w:tc>
        <w:tc>
          <w:tcPr>
            <w:tcW w:w="1374" w:type="dxa"/>
          </w:tcPr>
          <w:p w14:paraId="491A4631" w14:textId="77777777" w:rsidR="001D3356" w:rsidRDefault="00000000">
            <w:pPr>
              <w:pStyle w:val="TableParagraph"/>
              <w:spacing w:before="4"/>
              <w:ind w:right="71"/>
              <w:jc w:val="both"/>
            </w:pPr>
            <w:r>
              <w:rPr>
                <w:spacing w:val="-2"/>
              </w:rPr>
              <w:t>0.967</w:t>
            </w:r>
          </w:p>
        </w:tc>
        <w:tc>
          <w:tcPr>
            <w:tcW w:w="1441" w:type="dxa"/>
          </w:tcPr>
          <w:p w14:paraId="10039275" w14:textId="77777777" w:rsidR="001D3356" w:rsidRDefault="00000000">
            <w:pPr>
              <w:pStyle w:val="TableParagraph"/>
              <w:spacing w:before="4"/>
              <w:ind w:left="10" w:right="71"/>
              <w:jc w:val="both"/>
            </w:pPr>
            <w:r>
              <w:rPr>
                <w:spacing w:val="-2"/>
              </w:rPr>
              <w:t>0.856</w:t>
            </w:r>
          </w:p>
        </w:tc>
        <w:tc>
          <w:tcPr>
            <w:tcW w:w="1214" w:type="dxa"/>
          </w:tcPr>
          <w:p w14:paraId="74163F02" w14:textId="77777777" w:rsidR="001D3356" w:rsidRDefault="00000000">
            <w:pPr>
              <w:pStyle w:val="TableParagraph"/>
              <w:spacing w:before="4"/>
              <w:ind w:right="71"/>
              <w:jc w:val="both"/>
            </w:pPr>
            <w:r>
              <w:rPr>
                <w:spacing w:val="-4"/>
              </w:rPr>
              <w:t>0.966</w:t>
            </w:r>
          </w:p>
        </w:tc>
      </w:tr>
      <w:tr w:rsidR="001D3356" w14:paraId="15B0D43D" w14:textId="77777777">
        <w:trPr>
          <w:trHeight w:val="777"/>
        </w:trPr>
        <w:tc>
          <w:tcPr>
            <w:tcW w:w="2264" w:type="dxa"/>
          </w:tcPr>
          <w:p w14:paraId="7AAC5630" w14:textId="77777777" w:rsidR="001D3356" w:rsidRDefault="00000000">
            <w:pPr>
              <w:pStyle w:val="TableParagraph"/>
              <w:spacing w:before="0" w:line="260" w:lineRule="exact"/>
              <w:ind w:right="71"/>
              <w:jc w:val="both"/>
            </w:pPr>
            <w:r>
              <w:t>All brands from this country have excellent performance.</w:t>
            </w:r>
          </w:p>
        </w:tc>
        <w:tc>
          <w:tcPr>
            <w:tcW w:w="1345" w:type="dxa"/>
          </w:tcPr>
          <w:p w14:paraId="40736E84" w14:textId="77777777" w:rsidR="001D3356" w:rsidRDefault="00000000">
            <w:pPr>
              <w:pStyle w:val="TableParagraph"/>
              <w:spacing w:before="0" w:line="260" w:lineRule="exact"/>
              <w:ind w:left="153" w:right="71"/>
              <w:jc w:val="both"/>
            </w:pPr>
            <w:r>
              <w:t>Foreign Brand Halo Effect</w:t>
            </w:r>
          </w:p>
        </w:tc>
        <w:tc>
          <w:tcPr>
            <w:tcW w:w="1003" w:type="dxa"/>
          </w:tcPr>
          <w:p w14:paraId="27639A31" w14:textId="77777777" w:rsidR="001D3356" w:rsidRDefault="00000000">
            <w:pPr>
              <w:pStyle w:val="TableParagraph"/>
              <w:spacing w:before="4"/>
              <w:ind w:left="12" w:right="71"/>
              <w:jc w:val="both"/>
              <w:rPr>
                <w:spacing w:val="-4"/>
              </w:rPr>
            </w:pPr>
            <w:r>
              <w:rPr>
                <w:spacing w:val="-4"/>
              </w:rPr>
              <w:t>0.950</w:t>
            </w:r>
          </w:p>
        </w:tc>
        <w:tc>
          <w:tcPr>
            <w:tcW w:w="1374" w:type="dxa"/>
          </w:tcPr>
          <w:p w14:paraId="331F1448" w14:textId="77777777" w:rsidR="001D3356" w:rsidRDefault="00000000">
            <w:pPr>
              <w:pStyle w:val="TableParagraph"/>
              <w:spacing w:before="4"/>
              <w:ind w:right="71"/>
              <w:jc w:val="both"/>
              <w:rPr>
                <w:spacing w:val="-2"/>
              </w:rPr>
            </w:pPr>
            <w:r>
              <w:rPr>
                <w:spacing w:val="-10"/>
              </w:rPr>
              <w:t>-</w:t>
            </w:r>
          </w:p>
        </w:tc>
        <w:tc>
          <w:tcPr>
            <w:tcW w:w="1441" w:type="dxa"/>
          </w:tcPr>
          <w:p w14:paraId="4A59D6C3" w14:textId="77777777" w:rsidR="001D3356" w:rsidRDefault="00000000">
            <w:pPr>
              <w:pStyle w:val="TableParagraph"/>
              <w:spacing w:before="4"/>
              <w:ind w:left="10" w:right="71"/>
              <w:jc w:val="both"/>
              <w:rPr>
                <w:spacing w:val="-2"/>
              </w:rPr>
            </w:pPr>
            <w:r>
              <w:rPr>
                <w:spacing w:val="-10"/>
              </w:rPr>
              <w:t>-</w:t>
            </w:r>
          </w:p>
        </w:tc>
        <w:tc>
          <w:tcPr>
            <w:tcW w:w="1214" w:type="dxa"/>
          </w:tcPr>
          <w:p w14:paraId="7390D10D" w14:textId="77777777" w:rsidR="001D3356" w:rsidRDefault="00000000">
            <w:pPr>
              <w:pStyle w:val="TableParagraph"/>
              <w:spacing w:before="4"/>
              <w:ind w:right="71"/>
              <w:jc w:val="both"/>
              <w:rPr>
                <w:spacing w:val="-4"/>
              </w:rPr>
            </w:pPr>
            <w:r>
              <w:rPr>
                <w:spacing w:val="-10"/>
              </w:rPr>
              <w:t>-</w:t>
            </w:r>
          </w:p>
        </w:tc>
      </w:tr>
      <w:tr w:rsidR="001D3356" w14:paraId="62E05F33" w14:textId="77777777">
        <w:trPr>
          <w:trHeight w:val="777"/>
        </w:trPr>
        <w:tc>
          <w:tcPr>
            <w:tcW w:w="2264" w:type="dxa"/>
          </w:tcPr>
          <w:p w14:paraId="3BCAED05" w14:textId="77777777" w:rsidR="001D3356" w:rsidRDefault="00000000">
            <w:pPr>
              <w:pStyle w:val="TableParagraph"/>
              <w:spacing w:before="0" w:line="260" w:lineRule="exact"/>
              <w:ind w:right="71"/>
              <w:jc w:val="both"/>
            </w:pPr>
            <w:r>
              <w:t>All brands from The country has high quality.</w:t>
            </w:r>
          </w:p>
        </w:tc>
        <w:tc>
          <w:tcPr>
            <w:tcW w:w="1345" w:type="dxa"/>
          </w:tcPr>
          <w:p w14:paraId="72F3AFE1" w14:textId="77777777" w:rsidR="001D3356" w:rsidRDefault="00000000">
            <w:pPr>
              <w:pStyle w:val="TableParagraph"/>
              <w:spacing w:before="0" w:line="260" w:lineRule="exact"/>
              <w:ind w:left="153" w:right="71"/>
              <w:jc w:val="both"/>
            </w:pPr>
            <w:r>
              <w:t>Foreign Brand Halo Effect</w:t>
            </w:r>
          </w:p>
        </w:tc>
        <w:tc>
          <w:tcPr>
            <w:tcW w:w="1003" w:type="dxa"/>
          </w:tcPr>
          <w:p w14:paraId="09AF4D7E" w14:textId="77777777" w:rsidR="001D3356" w:rsidRDefault="00000000">
            <w:pPr>
              <w:pStyle w:val="TableParagraph"/>
              <w:spacing w:before="4"/>
              <w:ind w:left="12" w:right="71"/>
              <w:jc w:val="both"/>
              <w:rPr>
                <w:spacing w:val="-4"/>
              </w:rPr>
            </w:pPr>
            <w:r>
              <w:rPr>
                <w:spacing w:val="-4"/>
              </w:rPr>
              <w:t>0.954</w:t>
            </w:r>
          </w:p>
        </w:tc>
        <w:tc>
          <w:tcPr>
            <w:tcW w:w="1374" w:type="dxa"/>
          </w:tcPr>
          <w:p w14:paraId="253C8CE7" w14:textId="77777777" w:rsidR="001D3356" w:rsidRDefault="00000000">
            <w:pPr>
              <w:pStyle w:val="TableParagraph"/>
              <w:spacing w:before="4"/>
              <w:ind w:right="71"/>
              <w:jc w:val="both"/>
              <w:rPr>
                <w:spacing w:val="-2"/>
              </w:rPr>
            </w:pPr>
            <w:r>
              <w:rPr>
                <w:spacing w:val="-10"/>
              </w:rPr>
              <w:t>-</w:t>
            </w:r>
          </w:p>
        </w:tc>
        <w:tc>
          <w:tcPr>
            <w:tcW w:w="1441" w:type="dxa"/>
          </w:tcPr>
          <w:p w14:paraId="1EF64141" w14:textId="77777777" w:rsidR="001D3356" w:rsidRDefault="00000000">
            <w:pPr>
              <w:pStyle w:val="TableParagraph"/>
              <w:spacing w:before="4"/>
              <w:ind w:left="10" w:right="71"/>
              <w:jc w:val="both"/>
              <w:rPr>
                <w:spacing w:val="-2"/>
              </w:rPr>
            </w:pPr>
            <w:r>
              <w:rPr>
                <w:spacing w:val="-10"/>
              </w:rPr>
              <w:t>-</w:t>
            </w:r>
          </w:p>
        </w:tc>
        <w:tc>
          <w:tcPr>
            <w:tcW w:w="1214" w:type="dxa"/>
          </w:tcPr>
          <w:p w14:paraId="68320B17" w14:textId="77777777" w:rsidR="001D3356" w:rsidRDefault="00000000">
            <w:pPr>
              <w:pStyle w:val="TableParagraph"/>
              <w:spacing w:before="4"/>
              <w:ind w:right="71"/>
              <w:jc w:val="both"/>
              <w:rPr>
                <w:spacing w:val="-4"/>
              </w:rPr>
            </w:pPr>
            <w:r>
              <w:rPr>
                <w:spacing w:val="-10"/>
              </w:rPr>
              <w:t>-</w:t>
            </w:r>
          </w:p>
        </w:tc>
      </w:tr>
      <w:tr w:rsidR="001D3356" w14:paraId="11E420FB" w14:textId="77777777">
        <w:trPr>
          <w:trHeight w:val="777"/>
        </w:trPr>
        <w:tc>
          <w:tcPr>
            <w:tcW w:w="2264" w:type="dxa"/>
          </w:tcPr>
          <w:p w14:paraId="54B10C4E" w14:textId="77777777" w:rsidR="001D3356" w:rsidRDefault="00000000">
            <w:pPr>
              <w:pStyle w:val="TableParagraph"/>
              <w:spacing w:before="0" w:line="260" w:lineRule="exact"/>
              <w:ind w:right="71"/>
              <w:jc w:val="both"/>
            </w:pPr>
            <w:r>
              <w:t>All the brands from this country are great.</w:t>
            </w:r>
          </w:p>
        </w:tc>
        <w:tc>
          <w:tcPr>
            <w:tcW w:w="1345" w:type="dxa"/>
          </w:tcPr>
          <w:p w14:paraId="2731F1F1" w14:textId="77777777" w:rsidR="001D3356" w:rsidRDefault="00000000">
            <w:pPr>
              <w:pStyle w:val="TableParagraph"/>
              <w:spacing w:before="0" w:line="260" w:lineRule="exact"/>
              <w:ind w:left="153" w:right="71"/>
              <w:jc w:val="both"/>
            </w:pPr>
            <w:r>
              <w:t>Foreign Brand Halo Effect</w:t>
            </w:r>
          </w:p>
        </w:tc>
        <w:tc>
          <w:tcPr>
            <w:tcW w:w="1003" w:type="dxa"/>
          </w:tcPr>
          <w:p w14:paraId="421B69B7" w14:textId="77777777" w:rsidR="001D3356" w:rsidRDefault="00000000">
            <w:pPr>
              <w:pStyle w:val="TableParagraph"/>
              <w:spacing w:before="4"/>
              <w:ind w:left="12" w:right="71"/>
              <w:jc w:val="both"/>
              <w:rPr>
                <w:spacing w:val="-4"/>
              </w:rPr>
            </w:pPr>
            <w:r>
              <w:rPr>
                <w:spacing w:val="-4"/>
              </w:rPr>
              <w:t>0.958</w:t>
            </w:r>
          </w:p>
        </w:tc>
        <w:tc>
          <w:tcPr>
            <w:tcW w:w="1374" w:type="dxa"/>
          </w:tcPr>
          <w:p w14:paraId="30B3700B" w14:textId="77777777" w:rsidR="001D3356" w:rsidRDefault="00000000">
            <w:pPr>
              <w:pStyle w:val="TableParagraph"/>
              <w:spacing w:before="4"/>
              <w:ind w:right="71"/>
              <w:jc w:val="both"/>
              <w:rPr>
                <w:spacing w:val="-2"/>
              </w:rPr>
            </w:pPr>
            <w:r>
              <w:rPr>
                <w:spacing w:val="-10"/>
              </w:rPr>
              <w:t>-</w:t>
            </w:r>
          </w:p>
        </w:tc>
        <w:tc>
          <w:tcPr>
            <w:tcW w:w="1441" w:type="dxa"/>
          </w:tcPr>
          <w:p w14:paraId="6EDE1250" w14:textId="77777777" w:rsidR="001D3356" w:rsidRDefault="00000000">
            <w:pPr>
              <w:pStyle w:val="TableParagraph"/>
              <w:spacing w:before="4"/>
              <w:ind w:left="10" w:right="71"/>
              <w:jc w:val="both"/>
              <w:rPr>
                <w:spacing w:val="-2"/>
              </w:rPr>
            </w:pPr>
            <w:r>
              <w:rPr>
                <w:spacing w:val="-10"/>
              </w:rPr>
              <w:t>-</w:t>
            </w:r>
          </w:p>
        </w:tc>
        <w:tc>
          <w:tcPr>
            <w:tcW w:w="1214" w:type="dxa"/>
          </w:tcPr>
          <w:p w14:paraId="5871695E" w14:textId="77777777" w:rsidR="001D3356" w:rsidRDefault="00000000">
            <w:pPr>
              <w:pStyle w:val="TableParagraph"/>
              <w:spacing w:before="4"/>
              <w:ind w:right="71"/>
              <w:jc w:val="both"/>
              <w:rPr>
                <w:spacing w:val="-4"/>
              </w:rPr>
            </w:pPr>
            <w:r>
              <w:rPr>
                <w:spacing w:val="-10"/>
              </w:rPr>
              <w:t>-</w:t>
            </w:r>
          </w:p>
        </w:tc>
      </w:tr>
      <w:tr w:rsidR="001D3356" w14:paraId="280FC419" w14:textId="77777777">
        <w:trPr>
          <w:trHeight w:val="777"/>
        </w:trPr>
        <w:tc>
          <w:tcPr>
            <w:tcW w:w="2264" w:type="dxa"/>
          </w:tcPr>
          <w:p w14:paraId="77D1EAE3" w14:textId="77777777" w:rsidR="001D3356" w:rsidRDefault="00000000">
            <w:pPr>
              <w:pStyle w:val="TableParagraph"/>
              <w:spacing w:before="0" w:line="260" w:lineRule="exact"/>
              <w:ind w:right="71"/>
              <w:jc w:val="both"/>
            </w:pPr>
            <w:r>
              <w:t>All brands from this country are symbols of advanced technology.</w:t>
            </w:r>
          </w:p>
        </w:tc>
        <w:tc>
          <w:tcPr>
            <w:tcW w:w="1345" w:type="dxa"/>
          </w:tcPr>
          <w:p w14:paraId="4B2CFF06" w14:textId="77777777" w:rsidR="001D3356" w:rsidRDefault="00000000">
            <w:pPr>
              <w:pStyle w:val="TableParagraph"/>
              <w:spacing w:before="0" w:line="260" w:lineRule="exact"/>
              <w:ind w:left="153" w:right="71"/>
              <w:jc w:val="both"/>
            </w:pPr>
            <w:r>
              <w:t>Foreign Brand Halo Effect</w:t>
            </w:r>
          </w:p>
        </w:tc>
        <w:tc>
          <w:tcPr>
            <w:tcW w:w="1003" w:type="dxa"/>
          </w:tcPr>
          <w:p w14:paraId="18406D10" w14:textId="77777777" w:rsidR="001D3356" w:rsidRDefault="00000000">
            <w:pPr>
              <w:pStyle w:val="TableParagraph"/>
              <w:spacing w:before="4"/>
              <w:ind w:left="12" w:right="71"/>
              <w:jc w:val="both"/>
              <w:rPr>
                <w:spacing w:val="-4"/>
              </w:rPr>
            </w:pPr>
            <w:r>
              <w:rPr>
                <w:spacing w:val="-4"/>
              </w:rPr>
              <w:t>0.835</w:t>
            </w:r>
          </w:p>
        </w:tc>
        <w:tc>
          <w:tcPr>
            <w:tcW w:w="1374" w:type="dxa"/>
          </w:tcPr>
          <w:p w14:paraId="7AA4B728" w14:textId="77777777" w:rsidR="001D3356" w:rsidRDefault="00000000">
            <w:pPr>
              <w:pStyle w:val="TableParagraph"/>
              <w:spacing w:before="4"/>
              <w:ind w:right="71"/>
              <w:jc w:val="both"/>
              <w:rPr>
                <w:spacing w:val="-2"/>
              </w:rPr>
            </w:pPr>
            <w:r>
              <w:rPr>
                <w:spacing w:val="-10"/>
              </w:rPr>
              <w:t>-</w:t>
            </w:r>
          </w:p>
        </w:tc>
        <w:tc>
          <w:tcPr>
            <w:tcW w:w="1441" w:type="dxa"/>
          </w:tcPr>
          <w:p w14:paraId="1C136A27" w14:textId="77777777" w:rsidR="001D3356" w:rsidRDefault="00000000">
            <w:pPr>
              <w:pStyle w:val="TableParagraph"/>
              <w:spacing w:before="4"/>
              <w:ind w:left="10" w:right="71"/>
              <w:jc w:val="both"/>
              <w:rPr>
                <w:spacing w:val="-2"/>
              </w:rPr>
            </w:pPr>
            <w:r>
              <w:rPr>
                <w:spacing w:val="-10"/>
              </w:rPr>
              <w:t>-</w:t>
            </w:r>
          </w:p>
        </w:tc>
        <w:tc>
          <w:tcPr>
            <w:tcW w:w="1214" w:type="dxa"/>
          </w:tcPr>
          <w:p w14:paraId="2FDC0DF2" w14:textId="77777777" w:rsidR="001D3356" w:rsidRDefault="00000000">
            <w:pPr>
              <w:pStyle w:val="TableParagraph"/>
              <w:spacing w:before="4"/>
              <w:ind w:right="71"/>
              <w:jc w:val="both"/>
              <w:rPr>
                <w:spacing w:val="-4"/>
              </w:rPr>
            </w:pPr>
            <w:r>
              <w:rPr>
                <w:spacing w:val="-10"/>
              </w:rPr>
              <w:t>-</w:t>
            </w:r>
          </w:p>
        </w:tc>
      </w:tr>
      <w:tr w:rsidR="001D3356" w14:paraId="4DC32862" w14:textId="77777777">
        <w:trPr>
          <w:trHeight w:val="777"/>
        </w:trPr>
        <w:tc>
          <w:tcPr>
            <w:tcW w:w="2264" w:type="dxa"/>
          </w:tcPr>
          <w:p w14:paraId="7FE2BBFC" w14:textId="77777777" w:rsidR="001D3356" w:rsidRDefault="00000000">
            <w:pPr>
              <w:pStyle w:val="TableParagraph"/>
              <w:spacing w:before="0" w:line="260" w:lineRule="exact"/>
              <w:ind w:right="71"/>
              <w:jc w:val="both"/>
            </w:pPr>
            <w:r>
              <w:t>This brand reflects who I am.</w:t>
            </w:r>
          </w:p>
        </w:tc>
        <w:tc>
          <w:tcPr>
            <w:tcW w:w="1345" w:type="dxa"/>
          </w:tcPr>
          <w:p w14:paraId="3852A8A2" w14:textId="77777777" w:rsidR="001D3356" w:rsidRDefault="00000000">
            <w:pPr>
              <w:pStyle w:val="TableParagraph"/>
              <w:spacing w:before="0" w:line="260" w:lineRule="exact"/>
              <w:ind w:left="153" w:right="71"/>
              <w:jc w:val="both"/>
            </w:pPr>
            <w:r>
              <w:rPr>
                <w:spacing w:val="-2"/>
              </w:rPr>
              <w:t>Self-Brand Connection</w:t>
            </w:r>
          </w:p>
        </w:tc>
        <w:tc>
          <w:tcPr>
            <w:tcW w:w="1003" w:type="dxa"/>
          </w:tcPr>
          <w:p w14:paraId="561C32E1" w14:textId="77777777" w:rsidR="001D3356" w:rsidRDefault="00000000">
            <w:pPr>
              <w:pStyle w:val="TableParagraph"/>
              <w:spacing w:before="4"/>
              <w:ind w:left="12" w:right="71"/>
              <w:jc w:val="both"/>
              <w:rPr>
                <w:spacing w:val="-4"/>
              </w:rPr>
            </w:pPr>
            <w:r>
              <w:rPr>
                <w:spacing w:val="-4"/>
              </w:rPr>
              <w:t>0.909</w:t>
            </w:r>
          </w:p>
        </w:tc>
        <w:tc>
          <w:tcPr>
            <w:tcW w:w="1374" w:type="dxa"/>
          </w:tcPr>
          <w:p w14:paraId="12D8CE63" w14:textId="77777777" w:rsidR="001D3356" w:rsidRDefault="00000000">
            <w:pPr>
              <w:pStyle w:val="TableParagraph"/>
              <w:spacing w:before="4"/>
              <w:ind w:right="71"/>
              <w:jc w:val="both"/>
              <w:rPr>
                <w:spacing w:val="-2"/>
              </w:rPr>
            </w:pPr>
            <w:r>
              <w:rPr>
                <w:spacing w:val="-2"/>
              </w:rPr>
              <w:t>0.958</w:t>
            </w:r>
          </w:p>
        </w:tc>
        <w:tc>
          <w:tcPr>
            <w:tcW w:w="1441" w:type="dxa"/>
          </w:tcPr>
          <w:p w14:paraId="22726DFB" w14:textId="77777777" w:rsidR="001D3356" w:rsidRDefault="00000000">
            <w:pPr>
              <w:pStyle w:val="TableParagraph"/>
              <w:spacing w:before="4"/>
              <w:ind w:left="10" w:right="71"/>
              <w:jc w:val="both"/>
              <w:rPr>
                <w:spacing w:val="-2"/>
              </w:rPr>
            </w:pPr>
            <w:r>
              <w:rPr>
                <w:spacing w:val="-2"/>
              </w:rPr>
              <w:t>0.852</w:t>
            </w:r>
          </w:p>
        </w:tc>
        <w:tc>
          <w:tcPr>
            <w:tcW w:w="1214" w:type="dxa"/>
          </w:tcPr>
          <w:p w14:paraId="1AF1EAA3" w14:textId="77777777" w:rsidR="001D3356" w:rsidRDefault="00000000">
            <w:pPr>
              <w:pStyle w:val="TableParagraph"/>
              <w:spacing w:before="4"/>
              <w:ind w:right="71"/>
              <w:jc w:val="both"/>
              <w:rPr>
                <w:spacing w:val="-4"/>
              </w:rPr>
            </w:pPr>
            <w:r>
              <w:rPr>
                <w:spacing w:val="-4"/>
              </w:rPr>
              <w:t>0.958</w:t>
            </w:r>
          </w:p>
        </w:tc>
      </w:tr>
      <w:tr w:rsidR="001D3356" w14:paraId="6CCDFB14" w14:textId="77777777">
        <w:trPr>
          <w:trHeight w:val="777"/>
        </w:trPr>
        <w:tc>
          <w:tcPr>
            <w:tcW w:w="2264" w:type="dxa"/>
          </w:tcPr>
          <w:p w14:paraId="52F12825" w14:textId="77777777" w:rsidR="001D3356" w:rsidRDefault="00000000">
            <w:pPr>
              <w:pStyle w:val="TableParagraph"/>
              <w:spacing w:before="0" w:line="260" w:lineRule="exact"/>
              <w:ind w:right="71"/>
              <w:jc w:val="both"/>
            </w:pPr>
            <w:r>
              <w:t>I can identify myself with this brand.</w:t>
            </w:r>
          </w:p>
        </w:tc>
        <w:tc>
          <w:tcPr>
            <w:tcW w:w="1345" w:type="dxa"/>
          </w:tcPr>
          <w:p w14:paraId="089DE68A" w14:textId="77777777" w:rsidR="001D3356" w:rsidRDefault="00000000">
            <w:pPr>
              <w:pStyle w:val="TableParagraph"/>
              <w:spacing w:before="0" w:line="260" w:lineRule="exact"/>
              <w:ind w:left="153" w:right="71"/>
              <w:jc w:val="both"/>
            </w:pPr>
            <w:r>
              <w:rPr>
                <w:spacing w:val="-2"/>
              </w:rPr>
              <w:t>Self-Brand Connection</w:t>
            </w:r>
          </w:p>
        </w:tc>
        <w:tc>
          <w:tcPr>
            <w:tcW w:w="1003" w:type="dxa"/>
          </w:tcPr>
          <w:p w14:paraId="2CA20078" w14:textId="77777777" w:rsidR="001D3356" w:rsidRDefault="00000000">
            <w:pPr>
              <w:pStyle w:val="TableParagraph"/>
              <w:spacing w:before="4"/>
              <w:ind w:left="12" w:right="71"/>
              <w:jc w:val="both"/>
              <w:rPr>
                <w:spacing w:val="-4"/>
              </w:rPr>
            </w:pPr>
            <w:r>
              <w:rPr>
                <w:spacing w:val="-4"/>
              </w:rPr>
              <w:t>0.971</w:t>
            </w:r>
          </w:p>
        </w:tc>
        <w:tc>
          <w:tcPr>
            <w:tcW w:w="1374" w:type="dxa"/>
          </w:tcPr>
          <w:p w14:paraId="5DF8C83E" w14:textId="77777777" w:rsidR="001D3356" w:rsidRDefault="00000000">
            <w:pPr>
              <w:pStyle w:val="TableParagraph"/>
              <w:spacing w:before="4"/>
              <w:ind w:right="71"/>
              <w:jc w:val="both"/>
              <w:rPr>
                <w:spacing w:val="-2"/>
              </w:rPr>
            </w:pPr>
            <w:r>
              <w:rPr>
                <w:spacing w:val="-10"/>
              </w:rPr>
              <w:t>-</w:t>
            </w:r>
          </w:p>
        </w:tc>
        <w:tc>
          <w:tcPr>
            <w:tcW w:w="1441" w:type="dxa"/>
          </w:tcPr>
          <w:p w14:paraId="2C26EBC2" w14:textId="77777777" w:rsidR="001D3356" w:rsidRDefault="00000000">
            <w:pPr>
              <w:pStyle w:val="TableParagraph"/>
              <w:spacing w:before="4"/>
              <w:ind w:left="10" w:right="71"/>
              <w:jc w:val="both"/>
              <w:rPr>
                <w:spacing w:val="-2"/>
              </w:rPr>
            </w:pPr>
            <w:r>
              <w:rPr>
                <w:spacing w:val="-10"/>
              </w:rPr>
              <w:t>-</w:t>
            </w:r>
          </w:p>
        </w:tc>
        <w:tc>
          <w:tcPr>
            <w:tcW w:w="1214" w:type="dxa"/>
          </w:tcPr>
          <w:p w14:paraId="6C2F4744" w14:textId="77777777" w:rsidR="001D3356" w:rsidRDefault="00000000">
            <w:pPr>
              <w:pStyle w:val="TableParagraph"/>
              <w:spacing w:before="4"/>
              <w:ind w:right="71"/>
              <w:jc w:val="both"/>
              <w:rPr>
                <w:spacing w:val="-4"/>
              </w:rPr>
            </w:pPr>
            <w:r>
              <w:rPr>
                <w:spacing w:val="-10"/>
              </w:rPr>
              <w:t>-</w:t>
            </w:r>
          </w:p>
        </w:tc>
      </w:tr>
      <w:tr w:rsidR="001D3356" w14:paraId="024C4432" w14:textId="77777777">
        <w:trPr>
          <w:trHeight w:val="777"/>
        </w:trPr>
        <w:tc>
          <w:tcPr>
            <w:tcW w:w="2264" w:type="dxa"/>
          </w:tcPr>
          <w:p w14:paraId="35262660" w14:textId="77777777" w:rsidR="001D3356" w:rsidRDefault="00000000">
            <w:pPr>
              <w:pStyle w:val="TableParagraph"/>
              <w:spacing w:before="0" w:line="260" w:lineRule="exact"/>
              <w:ind w:right="71"/>
              <w:jc w:val="both"/>
            </w:pPr>
            <w:r>
              <w:lastRenderedPageBreak/>
              <w:t>I feel a personal connection with this brand.</w:t>
            </w:r>
          </w:p>
        </w:tc>
        <w:tc>
          <w:tcPr>
            <w:tcW w:w="1345" w:type="dxa"/>
          </w:tcPr>
          <w:p w14:paraId="139B1150" w14:textId="77777777" w:rsidR="001D3356" w:rsidRDefault="00000000">
            <w:pPr>
              <w:pStyle w:val="TableParagraph"/>
              <w:spacing w:before="0" w:line="260" w:lineRule="exact"/>
              <w:ind w:left="153" w:right="71"/>
              <w:jc w:val="both"/>
            </w:pPr>
            <w:r>
              <w:rPr>
                <w:spacing w:val="-2"/>
              </w:rPr>
              <w:t>Self-Brand Connection</w:t>
            </w:r>
          </w:p>
        </w:tc>
        <w:tc>
          <w:tcPr>
            <w:tcW w:w="1003" w:type="dxa"/>
          </w:tcPr>
          <w:p w14:paraId="3EF3D4C6" w14:textId="77777777" w:rsidR="001D3356" w:rsidRDefault="00000000">
            <w:pPr>
              <w:pStyle w:val="TableParagraph"/>
              <w:spacing w:before="4"/>
              <w:ind w:left="12" w:right="71"/>
              <w:jc w:val="both"/>
              <w:rPr>
                <w:spacing w:val="-4"/>
              </w:rPr>
            </w:pPr>
            <w:r>
              <w:rPr>
                <w:spacing w:val="-4"/>
              </w:rPr>
              <w:t>0.943</w:t>
            </w:r>
          </w:p>
        </w:tc>
        <w:tc>
          <w:tcPr>
            <w:tcW w:w="1374" w:type="dxa"/>
          </w:tcPr>
          <w:p w14:paraId="2B3677F0" w14:textId="77777777" w:rsidR="001D3356" w:rsidRDefault="00000000">
            <w:pPr>
              <w:pStyle w:val="TableParagraph"/>
              <w:spacing w:before="4"/>
              <w:ind w:right="71"/>
              <w:jc w:val="both"/>
              <w:rPr>
                <w:spacing w:val="-2"/>
              </w:rPr>
            </w:pPr>
            <w:r>
              <w:rPr>
                <w:spacing w:val="-10"/>
              </w:rPr>
              <w:t>-</w:t>
            </w:r>
          </w:p>
        </w:tc>
        <w:tc>
          <w:tcPr>
            <w:tcW w:w="1441" w:type="dxa"/>
          </w:tcPr>
          <w:p w14:paraId="63A3FB04" w14:textId="77777777" w:rsidR="001D3356" w:rsidRDefault="00000000">
            <w:pPr>
              <w:pStyle w:val="TableParagraph"/>
              <w:spacing w:before="4"/>
              <w:ind w:left="10" w:right="71"/>
              <w:jc w:val="both"/>
              <w:rPr>
                <w:spacing w:val="-2"/>
              </w:rPr>
            </w:pPr>
            <w:r>
              <w:rPr>
                <w:spacing w:val="-10"/>
              </w:rPr>
              <w:t>-</w:t>
            </w:r>
          </w:p>
        </w:tc>
        <w:tc>
          <w:tcPr>
            <w:tcW w:w="1214" w:type="dxa"/>
          </w:tcPr>
          <w:p w14:paraId="24E1B793" w14:textId="77777777" w:rsidR="001D3356" w:rsidRDefault="00000000">
            <w:pPr>
              <w:pStyle w:val="TableParagraph"/>
              <w:spacing w:before="4"/>
              <w:ind w:right="71"/>
              <w:jc w:val="both"/>
              <w:rPr>
                <w:spacing w:val="-4"/>
              </w:rPr>
            </w:pPr>
            <w:r>
              <w:rPr>
                <w:spacing w:val="-10"/>
              </w:rPr>
              <w:t>-</w:t>
            </w:r>
          </w:p>
        </w:tc>
      </w:tr>
      <w:tr w:rsidR="001D3356" w14:paraId="279C0E77" w14:textId="77777777">
        <w:trPr>
          <w:trHeight w:val="777"/>
        </w:trPr>
        <w:tc>
          <w:tcPr>
            <w:tcW w:w="2264" w:type="dxa"/>
          </w:tcPr>
          <w:p w14:paraId="42E0D1B6" w14:textId="77777777" w:rsidR="001D3356" w:rsidRDefault="00000000">
            <w:pPr>
              <w:pStyle w:val="TableParagraph"/>
              <w:ind w:left="0" w:right="71"/>
              <w:jc w:val="both"/>
            </w:pPr>
            <w:r>
              <w:t>This brand is suitable</w:t>
            </w:r>
          </w:p>
          <w:p w14:paraId="45D9F8A7" w14:textId="77777777" w:rsidR="001D3356" w:rsidRDefault="00000000">
            <w:pPr>
              <w:pStyle w:val="TableParagraph"/>
              <w:spacing w:before="0" w:line="260" w:lineRule="exact"/>
              <w:ind w:left="246" w:right="71" w:hanging="1"/>
              <w:jc w:val="both"/>
            </w:pPr>
            <w:r>
              <w:t>with me</w:t>
            </w:r>
            <w:r>
              <w:rPr>
                <w:spacing w:val="-2"/>
              </w:rPr>
              <w:t>.</w:t>
            </w:r>
          </w:p>
        </w:tc>
        <w:tc>
          <w:tcPr>
            <w:tcW w:w="1345" w:type="dxa"/>
          </w:tcPr>
          <w:p w14:paraId="5624FEBA" w14:textId="77777777" w:rsidR="001D3356" w:rsidRDefault="00000000">
            <w:pPr>
              <w:pStyle w:val="TableParagraph"/>
              <w:spacing w:before="0" w:line="260" w:lineRule="exact"/>
              <w:ind w:left="153" w:right="71"/>
              <w:jc w:val="both"/>
            </w:pPr>
            <w:r>
              <w:rPr>
                <w:spacing w:val="-2"/>
              </w:rPr>
              <w:t>Self-Brand Connection</w:t>
            </w:r>
          </w:p>
        </w:tc>
        <w:tc>
          <w:tcPr>
            <w:tcW w:w="1003" w:type="dxa"/>
          </w:tcPr>
          <w:p w14:paraId="644CFA2A" w14:textId="77777777" w:rsidR="001D3356" w:rsidRDefault="00000000">
            <w:pPr>
              <w:pStyle w:val="TableParagraph"/>
              <w:spacing w:before="4"/>
              <w:ind w:left="12" w:right="71"/>
              <w:jc w:val="both"/>
              <w:rPr>
                <w:spacing w:val="-4"/>
              </w:rPr>
            </w:pPr>
            <w:r>
              <w:rPr>
                <w:spacing w:val="-4"/>
              </w:rPr>
              <w:t>0.866</w:t>
            </w:r>
          </w:p>
        </w:tc>
        <w:tc>
          <w:tcPr>
            <w:tcW w:w="1374" w:type="dxa"/>
          </w:tcPr>
          <w:p w14:paraId="7825F9DE" w14:textId="77777777" w:rsidR="001D3356" w:rsidRDefault="00000000">
            <w:pPr>
              <w:pStyle w:val="TableParagraph"/>
              <w:spacing w:before="4"/>
              <w:ind w:right="71"/>
              <w:jc w:val="both"/>
              <w:rPr>
                <w:spacing w:val="-2"/>
              </w:rPr>
            </w:pPr>
            <w:r>
              <w:rPr>
                <w:spacing w:val="-10"/>
              </w:rPr>
              <w:t>-</w:t>
            </w:r>
          </w:p>
        </w:tc>
        <w:tc>
          <w:tcPr>
            <w:tcW w:w="1441" w:type="dxa"/>
          </w:tcPr>
          <w:p w14:paraId="63EFA6F8" w14:textId="77777777" w:rsidR="001D3356" w:rsidRDefault="00000000">
            <w:pPr>
              <w:pStyle w:val="TableParagraph"/>
              <w:spacing w:before="4"/>
              <w:ind w:left="10" w:right="71"/>
              <w:jc w:val="both"/>
              <w:rPr>
                <w:spacing w:val="-2"/>
              </w:rPr>
            </w:pPr>
            <w:r>
              <w:rPr>
                <w:spacing w:val="-10"/>
              </w:rPr>
              <w:t>-</w:t>
            </w:r>
          </w:p>
        </w:tc>
        <w:tc>
          <w:tcPr>
            <w:tcW w:w="1214" w:type="dxa"/>
          </w:tcPr>
          <w:p w14:paraId="7BE55287" w14:textId="77777777" w:rsidR="001D3356" w:rsidRDefault="00000000">
            <w:pPr>
              <w:pStyle w:val="TableParagraph"/>
              <w:spacing w:before="4"/>
              <w:ind w:right="71"/>
              <w:jc w:val="both"/>
              <w:rPr>
                <w:spacing w:val="-4"/>
              </w:rPr>
            </w:pPr>
            <w:r>
              <w:rPr>
                <w:spacing w:val="-10"/>
              </w:rPr>
              <w:t>-</w:t>
            </w:r>
          </w:p>
        </w:tc>
      </w:tr>
      <w:tr w:rsidR="001D3356" w14:paraId="7C8CA26C" w14:textId="77777777">
        <w:trPr>
          <w:trHeight w:val="777"/>
        </w:trPr>
        <w:tc>
          <w:tcPr>
            <w:tcW w:w="2264" w:type="dxa"/>
          </w:tcPr>
          <w:p w14:paraId="28E3A3CE" w14:textId="77777777" w:rsidR="001D3356" w:rsidRDefault="00000000">
            <w:pPr>
              <w:pStyle w:val="TableParagraph"/>
              <w:spacing w:line="247" w:lineRule="auto"/>
              <w:ind w:right="71"/>
              <w:jc w:val="both"/>
            </w:pPr>
            <w:r>
              <w:t>I tend to buy this brand even though it's more expensive Compared to other brands</w:t>
            </w:r>
            <w:r>
              <w:rPr>
                <w:spacing w:val="-4"/>
              </w:rPr>
              <w:t>.</w:t>
            </w:r>
          </w:p>
        </w:tc>
        <w:tc>
          <w:tcPr>
            <w:tcW w:w="1345" w:type="dxa"/>
          </w:tcPr>
          <w:p w14:paraId="400FCEA2" w14:textId="77777777" w:rsidR="001D3356" w:rsidRDefault="00000000">
            <w:pPr>
              <w:pStyle w:val="TableParagraph"/>
              <w:spacing w:before="0" w:line="260" w:lineRule="exact"/>
              <w:ind w:left="153" w:right="71"/>
              <w:jc w:val="both"/>
            </w:pPr>
            <w:r>
              <w:rPr>
                <w:spacing w:val="-2"/>
              </w:rPr>
              <w:t>Willingness to Overpay</w:t>
            </w:r>
          </w:p>
        </w:tc>
        <w:tc>
          <w:tcPr>
            <w:tcW w:w="1003" w:type="dxa"/>
          </w:tcPr>
          <w:p w14:paraId="3976EA8E" w14:textId="77777777" w:rsidR="001D3356" w:rsidRDefault="00000000">
            <w:pPr>
              <w:pStyle w:val="TableParagraph"/>
              <w:spacing w:before="4"/>
              <w:ind w:left="12" w:right="71"/>
              <w:jc w:val="both"/>
              <w:rPr>
                <w:spacing w:val="-4"/>
              </w:rPr>
            </w:pPr>
            <w:r>
              <w:rPr>
                <w:spacing w:val="-4"/>
              </w:rPr>
              <w:t>0.868</w:t>
            </w:r>
          </w:p>
        </w:tc>
        <w:tc>
          <w:tcPr>
            <w:tcW w:w="1374" w:type="dxa"/>
          </w:tcPr>
          <w:p w14:paraId="22110AED" w14:textId="77777777" w:rsidR="001D3356" w:rsidRDefault="00000000">
            <w:pPr>
              <w:pStyle w:val="TableParagraph"/>
              <w:spacing w:before="4"/>
              <w:ind w:right="71"/>
              <w:jc w:val="both"/>
              <w:rPr>
                <w:spacing w:val="-2"/>
              </w:rPr>
            </w:pPr>
            <w:r>
              <w:rPr>
                <w:spacing w:val="-2"/>
              </w:rPr>
              <w:t>0.941</w:t>
            </w:r>
          </w:p>
        </w:tc>
        <w:tc>
          <w:tcPr>
            <w:tcW w:w="1441" w:type="dxa"/>
          </w:tcPr>
          <w:p w14:paraId="02DCE890" w14:textId="77777777" w:rsidR="001D3356" w:rsidRDefault="00000000">
            <w:pPr>
              <w:pStyle w:val="TableParagraph"/>
              <w:spacing w:before="4"/>
              <w:ind w:left="10" w:right="71"/>
              <w:jc w:val="both"/>
              <w:rPr>
                <w:spacing w:val="-2"/>
              </w:rPr>
            </w:pPr>
            <w:r>
              <w:rPr>
                <w:spacing w:val="-2"/>
              </w:rPr>
              <w:t>0.799</w:t>
            </w:r>
          </w:p>
        </w:tc>
        <w:tc>
          <w:tcPr>
            <w:tcW w:w="1214" w:type="dxa"/>
          </w:tcPr>
          <w:p w14:paraId="6FD29435" w14:textId="77777777" w:rsidR="001D3356" w:rsidRDefault="00000000">
            <w:pPr>
              <w:pStyle w:val="TableParagraph"/>
              <w:spacing w:before="4"/>
              <w:ind w:right="71"/>
              <w:jc w:val="both"/>
              <w:rPr>
                <w:spacing w:val="-4"/>
              </w:rPr>
            </w:pPr>
            <w:r>
              <w:rPr>
                <w:spacing w:val="-4"/>
              </w:rPr>
              <w:t>0.940</w:t>
            </w:r>
          </w:p>
        </w:tc>
      </w:tr>
      <w:tr w:rsidR="001D3356" w14:paraId="5DB54ADC" w14:textId="77777777">
        <w:trPr>
          <w:trHeight w:val="777"/>
        </w:trPr>
        <w:tc>
          <w:tcPr>
            <w:tcW w:w="2264" w:type="dxa"/>
          </w:tcPr>
          <w:p w14:paraId="3A401307" w14:textId="77777777" w:rsidR="001D3356" w:rsidRDefault="00000000">
            <w:pPr>
              <w:pStyle w:val="TableParagraph"/>
              <w:spacing w:before="0" w:line="260" w:lineRule="exact"/>
              <w:ind w:right="71"/>
              <w:jc w:val="both"/>
            </w:pPr>
            <w:r>
              <w:t>Even though it is more expensive than local brands, I chose this brand.</w:t>
            </w:r>
          </w:p>
        </w:tc>
        <w:tc>
          <w:tcPr>
            <w:tcW w:w="1345" w:type="dxa"/>
          </w:tcPr>
          <w:p w14:paraId="4726CEE1" w14:textId="77777777" w:rsidR="001D3356" w:rsidRDefault="00000000">
            <w:pPr>
              <w:pStyle w:val="TableParagraph"/>
              <w:spacing w:before="0" w:line="260" w:lineRule="exact"/>
              <w:ind w:left="153" w:right="71"/>
              <w:jc w:val="both"/>
            </w:pPr>
            <w:r>
              <w:rPr>
                <w:spacing w:val="-2"/>
              </w:rPr>
              <w:t>Willingness to Overpay</w:t>
            </w:r>
          </w:p>
        </w:tc>
        <w:tc>
          <w:tcPr>
            <w:tcW w:w="1003" w:type="dxa"/>
          </w:tcPr>
          <w:p w14:paraId="36DB77B0" w14:textId="77777777" w:rsidR="001D3356" w:rsidRDefault="00000000">
            <w:pPr>
              <w:pStyle w:val="TableParagraph"/>
              <w:spacing w:before="4"/>
              <w:ind w:left="12" w:right="71"/>
              <w:jc w:val="both"/>
              <w:rPr>
                <w:spacing w:val="-4"/>
              </w:rPr>
            </w:pPr>
            <w:r>
              <w:rPr>
                <w:spacing w:val="-4"/>
              </w:rPr>
              <w:t>0.905</w:t>
            </w:r>
          </w:p>
        </w:tc>
        <w:tc>
          <w:tcPr>
            <w:tcW w:w="1374" w:type="dxa"/>
          </w:tcPr>
          <w:p w14:paraId="1C8B6EA3" w14:textId="77777777" w:rsidR="001D3356" w:rsidRDefault="00000000">
            <w:pPr>
              <w:pStyle w:val="TableParagraph"/>
              <w:spacing w:before="4"/>
              <w:ind w:right="71"/>
              <w:jc w:val="both"/>
              <w:rPr>
                <w:spacing w:val="-2"/>
              </w:rPr>
            </w:pPr>
            <w:r>
              <w:rPr>
                <w:spacing w:val="-10"/>
              </w:rPr>
              <w:t>-</w:t>
            </w:r>
          </w:p>
        </w:tc>
        <w:tc>
          <w:tcPr>
            <w:tcW w:w="1441" w:type="dxa"/>
          </w:tcPr>
          <w:p w14:paraId="2C201292" w14:textId="77777777" w:rsidR="001D3356" w:rsidRDefault="00000000">
            <w:pPr>
              <w:pStyle w:val="TableParagraph"/>
              <w:spacing w:before="4"/>
              <w:ind w:left="10" w:right="71"/>
              <w:jc w:val="both"/>
              <w:rPr>
                <w:spacing w:val="-2"/>
              </w:rPr>
            </w:pPr>
            <w:r>
              <w:rPr>
                <w:spacing w:val="-10"/>
              </w:rPr>
              <w:t>-</w:t>
            </w:r>
          </w:p>
        </w:tc>
        <w:tc>
          <w:tcPr>
            <w:tcW w:w="1214" w:type="dxa"/>
          </w:tcPr>
          <w:p w14:paraId="65753D15" w14:textId="77777777" w:rsidR="001D3356" w:rsidRDefault="00000000">
            <w:pPr>
              <w:pStyle w:val="TableParagraph"/>
              <w:spacing w:before="4"/>
              <w:ind w:right="71"/>
              <w:jc w:val="both"/>
              <w:rPr>
                <w:spacing w:val="-4"/>
              </w:rPr>
            </w:pPr>
            <w:r>
              <w:rPr>
                <w:spacing w:val="-10"/>
              </w:rPr>
              <w:t>-</w:t>
            </w:r>
          </w:p>
        </w:tc>
      </w:tr>
      <w:tr w:rsidR="001D3356" w14:paraId="6DAFC6DB" w14:textId="77777777">
        <w:trPr>
          <w:trHeight w:val="777"/>
        </w:trPr>
        <w:tc>
          <w:tcPr>
            <w:tcW w:w="2264" w:type="dxa"/>
          </w:tcPr>
          <w:p w14:paraId="0F05B9E9" w14:textId="77777777" w:rsidR="001D3356" w:rsidRDefault="00000000">
            <w:pPr>
              <w:pStyle w:val="TableParagraph"/>
              <w:spacing w:before="4" w:line="244" w:lineRule="auto"/>
              <w:ind w:right="71"/>
              <w:jc w:val="both"/>
            </w:pPr>
            <w:r>
              <w:t>This brand deserves to be sold at a price</w:t>
            </w:r>
          </w:p>
          <w:p w14:paraId="69B9C6E8" w14:textId="77777777" w:rsidR="001D3356" w:rsidRDefault="00000000">
            <w:pPr>
              <w:pStyle w:val="TableParagraph"/>
              <w:spacing w:before="0" w:line="260" w:lineRule="exact"/>
              <w:ind w:left="246" w:right="71" w:hanging="1"/>
              <w:jc w:val="both"/>
            </w:pPr>
            <w:r>
              <w:t>higher.</w:t>
            </w:r>
          </w:p>
        </w:tc>
        <w:tc>
          <w:tcPr>
            <w:tcW w:w="1345" w:type="dxa"/>
          </w:tcPr>
          <w:p w14:paraId="17109304" w14:textId="77777777" w:rsidR="001D3356" w:rsidRDefault="00000000">
            <w:pPr>
              <w:pStyle w:val="TableParagraph"/>
              <w:spacing w:before="0" w:line="260" w:lineRule="exact"/>
              <w:ind w:left="153" w:right="71"/>
              <w:jc w:val="both"/>
            </w:pPr>
            <w:r>
              <w:rPr>
                <w:spacing w:val="-2"/>
              </w:rPr>
              <w:t>Willingness to Overpay</w:t>
            </w:r>
          </w:p>
        </w:tc>
        <w:tc>
          <w:tcPr>
            <w:tcW w:w="1003" w:type="dxa"/>
          </w:tcPr>
          <w:p w14:paraId="71E4C708" w14:textId="77777777" w:rsidR="001D3356" w:rsidRDefault="00000000">
            <w:pPr>
              <w:pStyle w:val="TableParagraph"/>
              <w:spacing w:before="4"/>
              <w:ind w:left="12" w:right="71"/>
              <w:jc w:val="both"/>
              <w:rPr>
                <w:spacing w:val="-4"/>
              </w:rPr>
            </w:pPr>
            <w:r>
              <w:rPr>
                <w:spacing w:val="-4"/>
              </w:rPr>
              <w:t>0.914</w:t>
            </w:r>
          </w:p>
        </w:tc>
        <w:tc>
          <w:tcPr>
            <w:tcW w:w="1374" w:type="dxa"/>
          </w:tcPr>
          <w:p w14:paraId="70B48227" w14:textId="77777777" w:rsidR="001D3356" w:rsidRDefault="00000000">
            <w:pPr>
              <w:pStyle w:val="TableParagraph"/>
              <w:spacing w:before="4"/>
              <w:ind w:right="71"/>
              <w:jc w:val="both"/>
              <w:rPr>
                <w:spacing w:val="-2"/>
              </w:rPr>
            </w:pPr>
            <w:r>
              <w:rPr>
                <w:spacing w:val="-10"/>
              </w:rPr>
              <w:t>-</w:t>
            </w:r>
          </w:p>
        </w:tc>
        <w:tc>
          <w:tcPr>
            <w:tcW w:w="1441" w:type="dxa"/>
          </w:tcPr>
          <w:p w14:paraId="57F202EF" w14:textId="77777777" w:rsidR="001D3356" w:rsidRDefault="00000000">
            <w:pPr>
              <w:pStyle w:val="TableParagraph"/>
              <w:spacing w:before="4"/>
              <w:ind w:left="10" w:right="71"/>
              <w:jc w:val="both"/>
              <w:rPr>
                <w:spacing w:val="-2"/>
              </w:rPr>
            </w:pPr>
            <w:r>
              <w:rPr>
                <w:spacing w:val="-10"/>
              </w:rPr>
              <w:t>-</w:t>
            </w:r>
          </w:p>
        </w:tc>
        <w:tc>
          <w:tcPr>
            <w:tcW w:w="1214" w:type="dxa"/>
          </w:tcPr>
          <w:p w14:paraId="7A6772E5" w14:textId="77777777" w:rsidR="001D3356" w:rsidRDefault="00000000">
            <w:pPr>
              <w:pStyle w:val="TableParagraph"/>
              <w:spacing w:before="4"/>
              <w:ind w:right="71"/>
              <w:jc w:val="both"/>
              <w:rPr>
                <w:spacing w:val="-4"/>
              </w:rPr>
            </w:pPr>
            <w:r>
              <w:rPr>
                <w:spacing w:val="-10"/>
              </w:rPr>
              <w:t>-</w:t>
            </w:r>
          </w:p>
        </w:tc>
      </w:tr>
      <w:tr w:rsidR="001D3356" w14:paraId="06B9BDBA" w14:textId="77777777">
        <w:trPr>
          <w:trHeight w:val="777"/>
        </w:trPr>
        <w:tc>
          <w:tcPr>
            <w:tcW w:w="2264" w:type="dxa"/>
          </w:tcPr>
          <w:p w14:paraId="0B6CAF94" w14:textId="77777777" w:rsidR="001D3356" w:rsidRDefault="00000000">
            <w:pPr>
              <w:pStyle w:val="TableParagraph"/>
              <w:spacing w:before="0" w:line="260" w:lineRule="exact"/>
              <w:ind w:right="71"/>
              <w:jc w:val="both"/>
            </w:pPr>
            <w:r>
              <w:t>This brand is a high-quality brand and deserves to be sold at a high price.</w:t>
            </w:r>
          </w:p>
        </w:tc>
        <w:tc>
          <w:tcPr>
            <w:tcW w:w="1345" w:type="dxa"/>
          </w:tcPr>
          <w:p w14:paraId="63988985" w14:textId="77777777" w:rsidR="001D3356" w:rsidRDefault="00000000">
            <w:pPr>
              <w:pStyle w:val="TableParagraph"/>
              <w:spacing w:before="0" w:line="260" w:lineRule="exact"/>
              <w:ind w:left="153" w:right="71"/>
              <w:jc w:val="both"/>
            </w:pPr>
            <w:r>
              <w:rPr>
                <w:spacing w:val="-2"/>
              </w:rPr>
              <w:t>Willingness to Overpay</w:t>
            </w:r>
          </w:p>
        </w:tc>
        <w:tc>
          <w:tcPr>
            <w:tcW w:w="1003" w:type="dxa"/>
          </w:tcPr>
          <w:p w14:paraId="6DE09B77" w14:textId="77777777" w:rsidR="001D3356" w:rsidRDefault="00000000">
            <w:pPr>
              <w:pStyle w:val="TableParagraph"/>
              <w:spacing w:before="4"/>
              <w:ind w:left="12" w:right="71"/>
              <w:jc w:val="both"/>
              <w:rPr>
                <w:spacing w:val="-4"/>
              </w:rPr>
            </w:pPr>
            <w:r>
              <w:rPr>
                <w:spacing w:val="-4"/>
              </w:rPr>
              <w:t>0.888</w:t>
            </w:r>
          </w:p>
        </w:tc>
        <w:tc>
          <w:tcPr>
            <w:tcW w:w="1374" w:type="dxa"/>
          </w:tcPr>
          <w:p w14:paraId="5CB91080" w14:textId="77777777" w:rsidR="001D3356" w:rsidRDefault="00000000">
            <w:pPr>
              <w:pStyle w:val="TableParagraph"/>
              <w:spacing w:before="4"/>
              <w:ind w:right="71"/>
              <w:jc w:val="both"/>
              <w:rPr>
                <w:spacing w:val="-2"/>
              </w:rPr>
            </w:pPr>
            <w:r>
              <w:rPr>
                <w:spacing w:val="-10"/>
              </w:rPr>
              <w:t>-</w:t>
            </w:r>
          </w:p>
        </w:tc>
        <w:tc>
          <w:tcPr>
            <w:tcW w:w="1441" w:type="dxa"/>
          </w:tcPr>
          <w:p w14:paraId="42BAEA79" w14:textId="77777777" w:rsidR="001D3356" w:rsidRDefault="00000000">
            <w:pPr>
              <w:pStyle w:val="TableParagraph"/>
              <w:spacing w:before="4"/>
              <w:ind w:left="10" w:right="71"/>
              <w:jc w:val="both"/>
              <w:rPr>
                <w:spacing w:val="-2"/>
              </w:rPr>
            </w:pPr>
            <w:r>
              <w:rPr>
                <w:spacing w:val="-10"/>
              </w:rPr>
              <w:t>-</w:t>
            </w:r>
          </w:p>
        </w:tc>
        <w:tc>
          <w:tcPr>
            <w:tcW w:w="1214" w:type="dxa"/>
          </w:tcPr>
          <w:p w14:paraId="17C1F3FC" w14:textId="77777777" w:rsidR="001D3356" w:rsidRDefault="00000000">
            <w:pPr>
              <w:pStyle w:val="TableParagraph"/>
              <w:spacing w:before="4"/>
              <w:ind w:right="71"/>
              <w:jc w:val="both"/>
              <w:rPr>
                <w:spacing w:val="-4"/>
              </w:rPr>
            </w:pPr>
            <w:r>
              <w:rPr>
                <w:spacing w:val="-10"/>
              </w:rPr>
              <w:t>-</w:t>
            </w:r>
          </w:p>
        </w:tc>
      </w:tr>
    </w:tbl>
    <w:p w14:paraId="1EB03E5F" w14:textId="77777777" w:rsidR="001D3356" w:rsidRDefault="00000000">
      <w:pPr>
        <w:pStyle w:val="BodyText"/>
        <w:ind w:right="71" w:firstLine="720"/>
        <w:jc w:val="both"/>
        <w:rPr>
          <w:sz w:val="22"/>
          <w:szCs w:val="22"/>
          <w:lang w:val="en-US"/>
        </w:rPr>
      </w:pPr>
      <w:r>
        <w:rPr>
          <w:sz w:val="22"/>
          <w:szCs w:val="22"/>
        </w:rPr>
        <w:t>The validity and reliability of the construction of the four variables in the hypothesis model are explained by the load factor, combined reliability, and extracted mean variance (AVE). The measurement model has good validity and reliability and exceeds the threshold of 0.50 for load factor and AVE, as well as 0.70 for combined reliability and Cronbach's alpha (Hair et al., 2014)</w:t>
      </w:r>
      <w:r>
        <w:rPr>
          <w:sz w:val="22"/>
          <w:szCs w:val="22"/>
          <w:lang w:val="en-US"/>
        </w:rPr>
        <w:t>.</w:t>
      </w:r>
    </w:p>
    <w:p w14:paraId="6A558605" w14:textId="77777777" w:rsidR="001D3356" w:rsidRDefault="00000000">
      <w:pPr>
        <w:pStyle w:val="BodyText"/>
        <w:ind w:right="71" w:firstLine="720"/>
        <w:jc w:val="both"/>
        <w:rPr>
          <w:sz w:val="22"/>
          <w:szCs w:val="22"/>
          <w:lang w:val="en-US"/>
        </w:rPr>
      </w:pPr>
      <w:r>
        <w:rPr>
          <w:sz w:val="22"/>
          <w:szCs w:val="22"/>
        </w:rPr>
        <w:t>To perform a discriminatory validity test, we compare the square root of each construct's AVE with its correlation with other constructs (Fornell &amp; Larcker, 1981). The correlation coefficient between constructs is lower than the root of AVE, so it can be concluded that the validity of the discrimination has been maintained (Table 2.)</w:t>
      </w:r>
    </w:p>
    <w:p w14:paraId="6E0360E7" w14:textId="77777777" w:rsidR="001D3356" w:rsidRDefault="00000000">
      <w:pPr>
        <w:pStyle w:val="BodyText"/>
        <w:ind w:right="71" w:firstLine="720"/>
        <w:jc w:val="both"/>
        <w:rPr>
          <w:sz w:val="22"/>
          <w:szCs w:val="22"/>
          <w:lang w:val="en-US"/>
        </w:rPr>
      </w:pPr>
      <w:r>
        <w:rPr>
          <w:sz w:val="22"/>
          <w:szCs w:val="22"/>
        </w:rPr>
        <w:t>Furthermore, the load factor did not experience a significant decrease from the measurement model compared to the measurement model with the addition of a common latent factor. No item experienced a decline of more than 0.15, which is the recommended limit for a sharp decline (Min et al., 2016). The decrease in the load factor ranged from 0.001 to 0.031 with an average of 0.003. The largest decrease in the correlation coefficient occurred in the relationship between BC and FBHE, from 0.442 to 0.441. From these results, it can be concluded that the contribution of the general method bias in this model is very low.</w:t>
      </w:r>
    </w:p>
    <w:p w14:paraId="12A97E20" w14:textId="77777777" w:rsidR="001D3356" w:rsidRDefault="00000000">
      <w:pPr>
        <w:numPr>
          <w:ilvl w:val="0"/>
          <w:numId w:val="4"/>
        </w:numPr>
        <w:spacing w:before="240" w:line="276" w:lineRule="auto"/>
        <w:ind w:left="426" w:hanging="426"/>
        <w:rPr>
          <w:b/>
          <w:bCs/>
          <w:sz w:val="22"/>
          <w:szCs w:val="22"/>
          <w:lang w:val="id-ID"/>
        </w:rPr>
      </w:pPr>
      <w:r>
        <w:rPr>
          <w:b/>
          <w:bCs/>
          <w:sz w:val="22"/>
          <w:szCs w:val="22"/>
        </w:rPr>
        <w:t xml:space="preserve">RESULTS AND DISCUSSION </w:t>
      </w:r>
    </w:p>
    <w:p w14:paraId="0B583D03" w14:textId="77777777" w:rsidR="001D3356" w:rsidRDefault="00000000">
      <w:pPr>
        <w:spacing w:before="120" w:after="120" w:line="276" w:lineRule="auto"/>
        <w:rPr>
          <w:b/>
          <w:bCs/>
          <w:sz w:val="22"/>
          <w:szCs w:val="22"/>
        </w:rPr>
      </w:pPr>
      <w:r>
        <w:rPr>
          <w:b/>
          <w:bCs/>
          <w:sz w:val="22"/>
          <w:szCs w:val="22"/>
        </w:rPr>
        <w:t>Results</w:t>
      </w:r>
    </w:p>
    <w:p w14:paraId="53295615" w14:textId="77777777" w:rsidR="001D3356" w:rsidRDefault="00000000">
      <w:pPr>
        <w:widowControl w:val="0"/>
        <w:autoSpaceDE w:val="0"/>
        <w:autoSpaceDN w:val="0"/>
        <w:spacing w:line="276" w:lineRule="auto"/>
        <w:ind w:right="71" w:firstLine="720"/>
        <w:jc w:val="both"/>
        <w:rPr>
          <w:sz w:val="22"/>
          <w:szCs w:val="22"/>
        </w:rPr>
      </w:pPr>
      <w:r>
        <w:rPr>
          <w:sz w:val="22"/>
          <w:szCs w:val="22"/>
        </w:rPr>
        <w:t>The results of the model fit on the hypothetical model, chi square = 471.285 (df = 226), GFI = 0.865, AGFI = 0.835, CFI = 0.958, TLI = 0.952, RMSEA = 0.066, and NFI = 0.922. In the Overall, these results confirm</w:t>
      </w:r>
    </w:p>
    <w:p w14:paraId="73D85418" w14:textId="77777777" w:rsidR="001D3356" w:rsidRDefault="00000000">
      <w:pPr>
        <w:widowControl w:val="0"/>
        <w:autoSpaceDE w:val="0"/>
        <w:autoSpaceDN w:val="0"/>
        <w:spacing w:line="276" w:lineRule="auto"/>
        <w:ind w:right="71"/>
        <w:rPr>
          <w:sz w:val="22"/>
          <w:szCs w:val="22"/>
        </w:rPr>
      </w:pPr>
      <w:r>
        <w:rPr>
          <w:noProof/>
          <w:sz w:val="22"/>
          <w:szCs w:val="22"/>
        </w:rPr>
        <mc:AlternateContent>
          <mc:Choice Requires="wps">
            <w:drawing>
              <wp:anchor distT="0" distB="0" distL="0" distR="0" simplePos="0" relativeHeight="3" behindDoc="0" locked="0" layoutInCell="1" allowOverlap="1" wp14:anchorId="652D3695" wp14:editId="1293D6C3">
                <wp:simplePos x="0" y="0"/>
                <wp:positionH relativeFrom="page">
                  <wp:posOffset>1083563</wp:posOffset>
                </wp:positionH>
                <wp:positionV relativeFrom="paragraph">
                  <wp:posOffset>613568</wp:posOffset>
                </wp:positionV>
                <wp:extent cx="5570220" cy="1416684"/>
                <wp:effectExtent l="0" t="0" r="0" b="0"/>
                <wp:wrapNone/>
                <wp:docPr id="10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0220" cy="1416684"/>
                        </a:xfrm>
                        <a:prstGeom prst="rect">
                          <a:avLst/>
                        </a:prstGeom>
                      </wps:spPr>
                      <wps:txbx>
                        <w:txbxContent>
                          <w:p w14:paraId="53DBEF50" w14:textId="77777777" w:rsidR="001D3356" w:rsidRDefault="001D3356">
                            <w:pPr>
                              <w:pStyle w:val="BodyText"/>
                            </w:pPr>
                          </w:p>
                        </w:txbxContent>
                      </wps:txbx>
                      <wps:bodyPr wrap="square" lIns="0" tIns="0" rIns="0" bIns="0">
                        <a:prstTxWarp prst="textNoShape">
                          <a:avLst/>
                        </a:prstTxWarp>
                        <a:noAutofit/>
                      </wps:bodyPr>
                    </wps:wsp>
                  </a:graphicData>
                </a:graphic>
              </wp:anchor>
            </w:drawing>
          </mc:Choice>
          <mc:Fallback>
            <w:pict>
              <v:rect w14:anchorId="652D3695" id="Textbox 2" o:spid="_x0000_s1026" style="position:absolute;margin-left:85.3pt;margin-top:48.3pt;width:438.6pt;height:111.55pt;z-index: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" filled="f" stroked="f">
                <v:textbox inset="0,0,0,0">
                  <w:txbxContent>
                    <w:p w14:paraId="53DBEF50" w14:textId="77777777" w:rsidR="001D3356" w:rsidRDefault="001D3356">
                      <w:pPr>
                        <w:pStyle w:val="BodyText"/>
                      </w:pPr>
                    </w:p>
                  </w:txbxContent>
                </v:textbox>
                <w10:wrap anchorx="page"/>
              </v:rect>
            </w:pict>
          </mc:Fallback>
        </mc:AlternateContent>
      </w:r>
    </w:p>
    <w:p w14:paraId="4D1F0F35" w14:textId="77777777" w:rsidR="001D3356" w:rsidRDefault="00000000">
      <w:pPr>
        <w:rPr>
          <w:b/>
          <w:sz w:val="24"/>
          <w:szCs w:val="22"/>
        </w:rPr>
      </w:pPr>
      <w:r>
        <w:rPr>
          <w:b/>
          <w:sz w:val="24"/>
          <w:szCs w:val="22"/>
        </w:rPr>
        <w:br w:type="page"/>
      </w:r>
    </w:p>
    <w:p w14:paraId="3B975313" w14:textId="77777777" w:rsidR="001D3356" w:rsidRDefault="00000000">
      <w:pPr>
        <w:widowControl w:val="0"/>
        <w:autoSpaceDE w:val="0"/>
        <w:autoSpaceDN w:val="0"/>
        <w:spacing w:before="6" w:after="1"/>
        <w:ind w:right="71"/>
        <w:jc w:val="center"/>
        <w:rPr>
          <w:b/>
          <w:sz w:val="24"/>
          <w:szCs w:val="22"/>
        </w:rPr>
      </w:pPr>
      <w:r>
        <w:rPr>
          <w:b/>
          <w:sz w:val="24"/>
          <w:szCs w:val="22"/>
        </w:rPr>
        <w:lastRenderedPageBreak/>
        <w:t>Table 2</w:t>
      </w:r>
    </w:p>
    <w:tbl>
      <w:tblPr>
        <w:tblpPr w:leftFromText="180" w:rightFromText="180" w:vertAnchor="text" w:horzAnchor="margin"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1413"/>
        <w:gridCol w:w="1231"/>
        <w:gridCol w:w="859"/>
        <w:gridCol w:w="863"/>
        <w:gridCol w:w="862"/>
        <w:gridCol w:w="860"/>
      </w:tblGrid>
      <w:tr w:rsidR="001D3356" w14:paraId="050D3CB2" w14:textId="77777777">
        <w:trPr>
          <w:trHeight w:val="562"/>
        </w:trPr>
        <w:tc>
          <w:tcPr>
            <w:tcW w:w="2556" w:type="dxa"/>
          </w:tcPr>
          <w:p w14:paraId="375ACC2E" w14:textId="77777777" w:rsidR="001D3356" w:rsidRDefault="00000000">
            <w:pPr>
              <w:widowControl w:val="0"/>
              <w:autoSpaceDE w:val="0"/>
              <w:autoSpaceDN w:val="0"/>
              <w:spacing w:before="4"/>
              <w:ind w:left="100" w:right="71"/>
              <w:jc w:val="center"/>
              <w:rPr>
                <w:b/>
                <w:sz w:val="22"/>
                <w:szCs w:val="22"/>
              </w:rPr>
            </w:pPr>
            <w:r>
              <w:rPr>
                <w:b/>
                <w:spacing w:val="-2"/>
                <w:sz w:val="22"/>
                <w:szCs w:val="22"/>
              </w:rPr>
              <w:t>Variable</w:t>
            </w:r>
          </w:p>
        </w:tc>
        <w:tc>
          <w:tcPr>
            <w:tcW w:w="1413" w:type="dxa"/>
          </w:tcPr>
          <w:p w14:paraId="3157D71B" w14:textId="77777777" w:rsidR="001D3356" w:rsidRDefault="00000000">
            <w:pPr>
              <w:widowControl w:val="0"/>
              <w:autoSpaceDE w:val="0"/>
              <w:autoSpaceDN w:val="0"/>
              <w:spacing w:before="4" w:line="264" w:lineRule="auto"/>
              <w:ind w:left="100" w:right="71" w:hanging="2"/>
              <w:jc w:val="center"/>
              <w:rPr>
                <w:b/>
                <w:sz w:val="22"/>
                <w:szCs w:val="22"/>
              </w:rPr>
            </w:pPr>
            <w:r>
              <w:rPr>
                <w:b/>
                <w:spacing w:val="-2"/>
                <w:sz w:val="22"/>
                <w:szCs w:val="22"/>
              </w:rPr>
              <w:t>Average</w:t>
            </w:r>
          </w:p>
        </w:tc>
        <w:tc>
          <w:tcPr>
            <w:tcW w:w="1231" w:type="dxa"/>
          </w:tcPr>
          <w:p w14:paraId="11E3EAD9" w14:textId="77777777" w:rsidR="001D3356" w:rsidRDefault="00000000">
            <w:pPr>
              <w:widowControl w:val="0"/>
              <w:autoSpaceDE w:val="0"/>
              <w:autoSpaceDN w:val="0"/>
              <w:spacing w:before="4" w:line="264" w:lineRule="auto"/>
              <w:ind w:left="101" w:right="71"/>
              <w:jc w:val="center"/>
              <w:rPr>
                <w:b/>
                <w:sz w:val="22"/>
                <w:szCs w:val="22"/>
              </w:rPr>
            </w:pPr>
            <w:r>
              <w:rPr>
                <w:b/>
                <w:spacing w:val="-2"/>
                <w:sz w:val="22"/>
                <w:szCs w:val="22"/>
              </w:rPr>
              <w:t>Standard Deviation</w:t>
            </w:r>
          </w:p>
        </w:tc>
        <w:tc>
          <w:tcPr>
            <w:tcW w:w="859" w:type="dxa"/>
          </w:tcPr>
          <w:p w14:paraId="6FB5379C" w14:textId="77777777" w:rsidR="001D3356" w:rsidRDefault="00000000">
            <w:pPr>
              <w:widowControl w:val="0"/>
              <w:autoSpaceDE w:val="0"/>
              <w:autoSpaceDN w:val="0"/>
              <w:spacing w:before="4"/>
              <w:ind w:left="101" w:right="71"/>
              <w:jc w:val="center"/>
              <w:rPr>
                <w:b/>
                <w:sz w:val="22"/>
                <w:szCs w:val="22"/>
              </w:rPr>
            </w:pPr>
            <w:r>
              <w:rPr>
                <w:b/>
                <w:spacing w:val="-5"/>
                <w:sz w:val="22"/>
                <w:szCs w:val="22"/>
              </w:rPr>
              <w:t>(1)</w:t>
            </w:r>
          </w:p>
        </w:tc>
        <w:tc>
          <w:tcPr>
            <w:tcW w:w="863" w:type="dxa"/>
          </w:tcPr>
          <w:p w14:paraId="16233F08" w14:textId="77777777" w:rsidR="001D3356" w:rsidRDefault="00000000">
            <w:pPr>
              <w:widowControl w:val="0"/>
              <w:autoSpaceDE w:val="0"/>
              <w:autoSpaceDN w:val="0"/>
              <w:spacing w:before="4"/>
              <w:ind w:left="100" w:right="71"/>
              <w:jc w:val="center"/>
              <w:rPr>
                <w:b/>
                <w:sz w:val="22"/>
                <w:szCs w:val="22"/>
              </w:rPr>
            </w:pPr>
            <w:r>
              <w:rPr>
                <w:b/>
                <w:spacing w:val="-5"/>
                <w:sz w:val="22"/>
                <w:szCs w:val="22"/>
              </w:rPr>
              <w:t>(2)</w:t>
            </w:r>
          </w:p>
        </w:tc>
        <w:tc>
          <w:tcPr>
            <w:tcW w:w="862" w:type="dxa"/>
          </w:tcPr>
          <w:p w14:paraId="6135C3FC" w14:textId="77777777" w:rsidR="001D3356" w:rsidRDefault="00000000">
            <w:pPr>
              <w:widowControl w:val="0"/>
              <w:autoSpaceDE w:val="0"/>
              <w:autoSpaceDN w:val="0"/>
              <w:spacing w:before="4"/>
              <w:ind w:left="98" w:right="71"/>
              <w:jc w:val="center"/>
              <w:rPr>
                <w:b/>
                <w:sz w:val="22"/>
                <w:szCs w:val="22"/>
              </w:rPr>
            </w:pPr>
            <w:r>
              <w:rPr>
                <w:b/>
                <w:spacing w:val="-5"/>
                <w:sz w:val="22"/>
                <w:szCs w:val="22"/>
              </w:rPr>
              <w:t>(3)</w:t>
            </w:r>
          </w:p>
        </w:tc>
        <w:tc>
          <w:tcPr>
            <w:tcW w:w="860" w:type="dxa"/>
          </w:tcPr>
          <w:p w14:paraId="66AC8F95" w14:textId="77777777" w:rsidR="001D3356" w:rsidRDefault="00000000">
            <w:pPr>
              <w:widowControl w:val="0"/>
              <w:autoSpaceDE w:val="0"/>
              <w:autoSpaceDN w:val="0"/>
              <w:spacing w:before="4"/>
              <w:ind w:left="97" w:right="71"/>
              <w:jc w:val="center"/>
              <w:rPr>
                <w:b/>
                <w:sz w:val="22"/>
                <w:szCs w:val="22"/>
              </w:rPr>
            </w:pPr>
            <w:r>
              <w:rPr>
                <w:b/>
                <w:spacing w:val="-5"/>
                <w:sz w:val="22"/>
                <w:szCs w:val="22"/>
              </w:rPr>
              <w:t>(4)</w:t>
            </w:r>
          </w:p>
        </w:tc>
      </w:tr>
      <w:tr w:rsidR="001D3356" w14:paraId="6399E1BD" w14:textId="77777777">
        <w:trPr>
          <w:trHeight w:val="260"/>
        </w:trPr>
        <w:tc>
          <w:tcPr>
            <w:tcW w:w="2556" w:type="dxa"/>
          </w:tcPr>
          <w:p w14:paraId="67DE2BEA" w14:textId="77777777" w:rsidR="001D3356" w:rsidRDefault="00000000">
            <w:pPr>
              <w:widowControl w:val="0"/>
              <w:autoSpaceDE w:val="0"/>
              <w:autoSpaceDN w:val="0"/>
              <w:spacing w:before="5"/>
              <w:ind w:left="100" w:right="71"/>
              <w:rPr>
                <w:b/>
                <w:sz w:val="22"/>
                <w:szCs w:val="22"/>
              </w:rPr>
            </w:pPr>
            <w:r>
              <w:rPr>
                <w:b/>
                <w:sz w:val="22"/>
                <w:szCs w:val="22"/>
              </w:rPr>
              <w:t>Beauty Orientation</w:t>
            </w:r>
          </w:p>
        </w:tc>
        <w:tc>
          <w:tcPr>
            <w:tcW w:w="1413" w:type="dxa"/>
          </w:tcPr>
          <w:p w14:paraId="51479323" w14:textId="77777777" w:rsidR="001D3356" w:rsidRDefault="00000000">
            <w:pPr>
              <w:widowControl w:val="0"/>
              <w:autoSpaceDE w:val="0"/>
              <w:autoSpaceDN w:val="0"/>
              <w:spacing w:before="5"/>
              <w:ind w:left="100" w:right="71"/>
              <w:rPr>
                <w:sz w:val="22"/>
                <w:szCs w:val="22"/>
              </w:rPr>
            </w:pPr>
            <w:r>
              <w:rPr>
                <w:spacing w:val="-4"/>
                <w:sz w:val="22"/>
                <w:szCs w:val="22"/>
              </w:rPr>
              <w:t>5.35</w:t>
            </w:r>
          </w:p>
        </w:tc>
        <w:tc>
          <w:tcPr>
            <w:tcW w:w="1231" w:type="dxa"/>
          </w:tcPr>
          <w:p w14:paraId="41E48B78" w14:textId="77777777" w:rsidR="001D3356" w:rsidRDefault="00000000">
            <w:pPr>
              <w:widowControl w:val="0"/>
              <w:autoSpaceDE w:val="0"/>
              <w:autoSpaceDN w:val="0"/>
              <w:spacing w:before="5"/>
              <w:ind w:left="100" w:right="71"/>
              <w:rPr>
                <w:sz w:val="22"/>
                <w:szCs w:val="22"/>
              </w:rPr>
            </w:pPr>
            <w:r>
              <w:rPr>
                <w:spacing w:val="-4"/>
                <w:sz w:val="22"/>
                <w:szCs w:val="22"/>
              </w:rPr>
              <w:t>1.07</w:t>
            </w:r>
          </w:p>
        </w:tc>
        <w:tc>
          <w:tcPr>
            <w:tcW w:w="859" w:type="dxa"/>
          </w:tcPr>
          <w:p w14:paraId="77C747B1" w14:textId="77777777" w:rsidR="001D3356" w:rsidRDefault="00000000">
            <w:pPr>
              <w:widowControl w:val="0"/>
              <w:autoSpaceDE w:val="0"/>
              <w:autoSpaceDN w:val="0"/>
              <w:spacing w:before="5"/>
              <w:ind w:left="99" w:right="71"/>
              <w:rPr>
                <w:sz w:val="22"/>
                <w:szCs w:val="22"/>
              </w:rPr>
            </w:pPr>
            <w:r>
              <w:rPr>
                <w:spacing w:val="-2"/>
                <w:sz w:val="22"/>
                <w:szCs w:val="22"/>
              </w:rPr>
              <w:t>(0.820)</w:t>
            </w:r>
          </w:p>
        </w:tc>
        <w:tc>
          <w:tcPr>
            <w:tcW w:w="863" w:type="dxa"/>
          </w:tcPr>
          <w:p w14:paraId="33164DFC" w14:textId="77777777" w:rsidR="001D3356" w:rsidRDefault="00000000">
            <w:pPr>
              <w:widowControl w:val="0"/>
              <w:autoSpaceDE w:val="0"/>
              <w:autoSpaceDN w:val="0"/>
              <w:spacing w:before="5"/>
              <w:ind w:left="101" w:right="71"/>
              <w:rPr>
                <w:sz w:val="22"/>
                <w:szCs w:val="22"/>
              </w:rPr>
            </w:pPr>
            <w:r>
              <w:rPr>
                <w:spacing w:val="-10"/>
                <w:sz w:val="22"/>
                <w:szCs w:val="22"/>
              </w:rPr>
              <w:t>-</w:t>
            </w:r>
          </w:p>
        </w:tc>
        <w:tc>
          <w:tcPr>
            <w:tcW w:w="862" w:type="dxa"/>
          </w:tcPr>
          <w:p w14:paraId="79BA799C" w14:textId="77777777" w:rsidR="001D3356" w:rsidRDefault="00000000">
            <w:pPr>
              <w:widowControl w:val="0"/>
              <w:autoSpaceDE w:val="0"/>
              <w:autoSpaceDN w:val="0"/>
              <w:spacing w:before="5"/>
              <w:ind w:left="99" w:right="71"/>
              <w:rPr>
                <w:sz w:val="22"/>
                <w:szCs w:val="22"/>
              </w:rPr>
            </w:pPr>
            <w:r>
              <w:rPr>
                <w:spacing w:val="-10"/>
                <w:sz w:val="22"/>
                <w:szCs w:val="22"/>
              </w:rPr>
              <w:t>-</w:t>
            </w:r>
          </w:p>
        </w:tc>
        <w:tc>
          <w:tcPr>
            <w:tcW w:w="860" w:type="dxa"/>
          </w:tcPr>
          <w:p w14:paraId="01D8574D" w14:textId="77777777" w:rsidR="001D3356" w:rsidRDefault="00000000">
            <w:pPr>
              <w:widowControl w:val="0"/>
              <w:autoSpaceDE w:val="0"/>
              <w:autoSpaceDN w:val="0"/>
              <w:spacing w:before="5"/>
              <w:ind w:left="100" w:right="71"/>
              <w:rPr>
                <w:sz w:val="22"/>
                <w:szCs w:val="22"/>
              </w:rPr>
            </w:pPr>
            <w:r>
              <w:rPr>
                <w:spacing w:val="-10"/>
                <w:sz w:val="22"/>
                <w:szCs w:val="22"/>
              </w:rPr>
              <w:t>-</w:t>
            </w:r>
          </w:p>
        </w:tc>
      </w:tr>
      <w:tr w:rsidR="001D3356" w14:paraId="7449AB18" w14:textId="77777777">
        <w:trPr>
          <w:trHeight w:val="258"/>
        </w:trPr>
        <w:tc>
          <w:tcPr>
            <w:tcW w:w="2556" w:type="dxa"/>
          </w:tcPr>
          <w:p w14:paraId="2175F56B" w14:textId="77777777" w:rsidR="001D3356" w:rsidRDefault="00000000">
            <w:pPr>
              <w:widowControl w:val="0"/>
              <w:autoSpaceDE w:val="0"/>
              <w:autoSpaceDN w:val="0"/>
              <w:spacing w:before="4" w:line="234" w:lineRule="exact"/>
              <w:ind w:left="100" w:right="71"/>
              <w:rPr>
                <w:b/>
                <w:sz w:val="22"/>
                <w:szCs w:val="22"/>
              </w:rPr>
            </w:pPr>
            <w:r>
              <w:rPr>
                <w:b/>
                <w:sz w:val="22"/>
                <w:szCs w:val="22"/>
              </w:rPr>
              <w:t>Foreign Brand Halo Effect</w:t>
            </w:r>
          </w:p>
        </w:tc>
        <w:tc>
          <w:tcPr>
            <w:tcW w:w="1413" w:type="dxa"/>
          </w:tcPr>
          <w:p w14:paraId="4554C79D" w14:textId="77777777" w:rsidR="001D3356" w:rsidRDefault="00000000">
            <w:pPr>
              <w:widowControl w:val="0"/>
              <w:autoSpaceDE w:val="0"/>
              <w:autoSpaceDN w:val="0"/>
              <w:spacing w:before="4" w:line="234" w:lineRule="exact"/>
              <w:ind w:left="100" w:right="71"/>
              <w:rPr>
                <w:sz w:val="22"/>
                <w:szCs w:val="22"/>
              </w:rPr>
            </w:pPr>
            <w:r>
              <w:rPr>
                <w:spacing w:val="-4"/>
                <w:sz w:val="22"/>
                <w:szCs w:val="22"/>
              </w:rPr>
              <w:t>4.61</w:t>
            </w:r>
          </w:p>
        </w:tc>
        <w:tc>
          <w:tcPr>
            <w:tcW w:w="1231" w:type="dxa"/>
          </w:tcPr>
          <w:p w14:paraId="607A9F49" w14:textId="77777777" w:rsidR="001D3356" w:rsidRDefault="00000000">
            <w:pPr>
              <w:widowControl w:val="0"/>
              <w:autoSpaceDE w:val="0"/>
              <w:autoSpaceDN w:val="0"/>
              <w:spacing w:before="4" w:line="234" w:lineRule="exact"/>
              <w:ind w:left="101" w:right="71"/>
              <w:rPr>
                <w:sz w:val="22"/>
                <w:szCs w:val="22"/>
              </w:rPr>
            </w:pPr>
            <w:r>
              <w:rPr>
                <w:spacing w:val="-4"/>
                <w:sz w:val="22"/>
                <w:szCs w:val="22"/>
              </w:rPr>
              <w:t>1.55</w:t>
            </w:r>
          </w:p>
        </w:tc>
        <w:tc>
          <w:tcPr>
            <w:tcW w:w="859" w:type="dxa"/>
          </w:tcPr>
          <w:p w14:paraId="5B3D97C6" w14:textId="77777777" w:rsidR="001D3356" w:rsidRDefault="00000000">
            <w:pPr>
              <w:widowControl w:val="0"/>
              <w:autoSpaceDE w:val="0"/>
              <w:autoSpaceDN w:val="0"/>
              <w:spacing w:before="4" w:line="234" w:lineRule="exact"/>
              <w:ind w:left="101" w:right="71"/>
              <w:rPr>
                <w:sz w:val="22"/>
                <w:szCs w:val="22"/>
              </w:rPr>
            </w:pPr>
            <w:r>
              <w:rPr>
                <w:spacing w:val="-2"/>
                <w:sz w:val="22"/>
                <w:szCs w:val="22"/>
              </w:rPr>
              <w:t>0.442</w:t>
            </w:r>
          </w:p>
        </w:tc>
        <w:tc>
          <w:tcPr>
            <w:tcW w:w="863" w:type="dxa"/>
          </w:tcPr>
          <w:p w14:paraId="64F4621E" w14:textId="77777777" w:rsidR="001D3356" w:rsidRDefault="00000000">
            <w:pPr>
              <w:widowControl w:val="0"/>
              <w:autoSpaceDE w:val="0"/>
              <w:autoSpaceDN w:val="0"/>
              <w:spacing w:before="4" w:line="234" w:lineRule="exact"/>
              <w:ind w:left="101" w:right="71"/>
              <w:rPr>
                <w:sz w:val="22"/>
                <w:szCs w:val="22"/>
              </w:rPr>
            </w:pPr>
            <w:r>
              <w:rPr>
                <w:spacing w:val="-2"/>
                <w:sz w:val="22"/>
                <w:szCs w:val="22"/>
              </w:rPr>
              <w:t>(0.925)</w:t>
            </w:r>
          </w:p>
        </w:tc>
        <w:tc>
          <w:tcPr>
            <w:tcW w:w="862" w:type="dxa"/>
          </w:tcPr>
          <w:p w14:paraId="0E64F4EA" w14:textId="77777777" w:rsidR="001D3356" w:rsidRDefault="00000000">
            <w:pPr>
              <w:widowControl w:val="0"/>
              <w:autoSpaceDE w:val="0"/>
              <w:autoSpaceDN w:val="0"/>
              <w:spacing w:before="4" w:line="234" w:lineRule="exact"/>
              <w:ind w:left="100" w:right="71"/>
              <w:rPr>
                <w:sz w:val="22"/>
                <w:szCs w:val="22"/>
              </w:rPr>
            </w:pPr>
            <w:r>
              <w:rPr>
                <w:spacing w:val="-10"/>
                <w:sz w:val="22"/>
                <w:szCs w:val="22"/>
              </w:rPr>
              <w:t>-</w:t>
            </w:r>
          </w:p>
        </w:tc>
        <w:tc>
          <w:tcPr>
            <w:tcW w:w="860" w:type="dxa"/>
          </w:tcPr>
          <w:p w14:paraId="52146A95" w14:textId="77777777" w:rsidR="001D3356" w:rsidRDefault="00000000">
            <w:pPr>
              <w:widowControl w:val="0"/>
              <w:autoSpaceDE w:val="0"/>
              <w:autoSpaceDN w:val="0"/>
              <w:spacing w:before="4" w:line="234" w:lineRule="exact"/>
              <w:ind w:left="99" w:right="71"/>
              <w:rPr>
                <w:sz w:val="22"/>
                <w:szCs w:val="22"/>
              </w:rPr>
            </w:pPr>
            <w:r>
              <w:rPr>
                <w:spacing w:val="-10"/>
                <w:sz w:val="22"/>
                <w:szCs w:val="22"/>
              </w:rPr>
              <w:t>-</w:t>
            </w:r>
          </w:p>
        </w:tc>
      </w:tr>
      <w:tr w:rsidR="001D3356" w14:paraId="726181B1" w14:textId="77777777">
        <w:trPr>
          <w:trHeight w:val="257"/>
        </w:trPr>
        <w:tc>
          <w:tcPr>
            <w:tcW w:w="2556" w:type="dxa"/>
          </w:tcPr>
          <w:p w14:paraId="4935B72C" w14:textId="77777777" w:rsidR="001D3356" w:rsidRDefault="00000000">
            <w:pPr>
              <w:widowControl w:val="0"/>
              <w:autoSpaceDE w:val="0"/>
              <w:autoSpaceDN w:val="0"/>
              <w:spacing w:before="4" w:line="233" w:lineRule="exact"/>
              <w:ind w:left="100" w:right="71"/>
              <w:rPr>
                <w:b/>
                <w:sz w:val="22"/>
                <w:szCs w:val="22"/>
              </w:rPr>
            </w:pPr>
            <w:r>
              <w:rPr>
                <w:b/>
                <w:sz w:val="22"/>
                <w:szCs w:val="22"/>
              </w:rPr>
              <w:t>Self-Brand Connection</w:t>
            </w:r>
          </w:p>
        </w:tc>
        <w:tc>
          <w:tcPr>
            <w:tcW w:w="1413" w:type="dxa"/>
          </w:tcPr>
          <w:p w14:paraId="2CC0EBC7" w14:textId="77777777" w:rsidR="001D3356" w:rsidRDefault="00000000">
            <w:pPr>
              <w:widowControl w:val="0"/>
              <w:autoSpaceDE w:val="0"/>
              <w:autoSpaceDN w:val="0"/>
              <w:spacing w:before="4" w:line="233" w:lineRule="exact"/>
              <w:ind w:left="100" w:right="71"/>
              <w:rPr>
                <w:sz w:val="22"/>
                <w:szCs w:val="22"/>
              </w:rPr>
            </w:pPr>
            <w:r>
              <w:rPr>
                <w:spacing w:val="-4"/>
                <w:sz w:val="22"/>
                <w:szCs w:val="22"/>
              </w:rPr>
              <w:t>3.95</w:t>
            </w:r>
          </w:p>
        </w:tc>
        <w:tc>
          <w:tcPr>
            <w:tcW w:w="1231" w:type="dxa"/>
          </w:tcPr>
          <w:p w14:paraId="0021EE24" w14:textId="77777777" w:rsidR="001D3356" w:rsidRDefault="00000000">
            <w:pPr>
              <w:widowControl w:val="0"/>
              <w:autoSpaceDE w:val="0"/>
              <w:autoSpaceDN w:val="0"/>
              <w:spacing w:before="4" w:line="233" w:lineRule="exact"/>
              <w:ind w:left="101" w:right="71"/>
              <w:rPr>
                <w:sz w:val="22"/>
                <w:szCs w:val="22"/>
              </w:rPr>
            </w:pPr>
            <w:r>
              <w:rPr>
                <w:spacing w:val="-4"/>
                <w:sz w:val="22"/>
                <w:szCs w:val="22"/>
              </w:rPr>
              <w:t>1.48</w:t>
            </w:r>
          </w:p>
        </w:tc>
        <w:tc>
          <w:tcPr>
            <w:tcW w:w="859" w:type="dxa"/>
          </w:tcPr>
          <w:p w14:paraId="30B97B13" w14:textId="77777777" w:rsidR="001D3356" w:rsidRDefault="00000000">
            <w:pPr>
              <w:widowControl w:val="0"/>
              <w:autoSpaceDE w:val="0"/>
              <w:autoSpaceDN w:val="0"/>
              <w:spacing w:before="4" w:line="233" w:lineRule="exact"/>
              <w:ind w:left="101" w:right="71"/>
              <w:rPr>
                <w:sz w:val="22"/>
                <w:szCs w:val="22"/>
              </w:rPr>
            </w:pPr>
            <w:r>
              <w:rPr>
                <w:spacing w:val="-2"/>
                <w:sz w:val="22"/>
                <w:szCs w:val="22"/>
              </w:rPr>
              <w:t>0.484</w:t>
            </w:r>
          </w:p>
        </w:tc>
        <w:tc>
          <w:tcPr>
            <w:tcW w:w="863" w:type="dxa"/>
          </w:tcPr>
          <w:p w14:paraId="56B350E2" w14:textId="77777777" w:rsidR="001D3356" w:rsidRDefault="00000000">
            <w:pPr>
              <w:widowControl w:val="0"/>
              <w:autoSpaceDE w:val="0"/>
              <w:autoSpaceDN w:val="0"/>
              <w:spacing w:before="4" w:line="233" w:lineRule="exact"/>
              <w:ind w:left="101" w:right="71"/>
              <w:rPr>
                <w:sz w:val="22"/>
                <w:szCs w:val="22"/>
              </w:rPr>
            </w:pPr>
            <w:r>
              <w:rPr>
                <w:spacing w:val="-2"/>
                <w:sz w:val="22"/>
                <w:szCs w:val="22"/>
              </w:rPr>
              <w:t>0.639</w:t>
            </w:r>
          </w:p>
        </w:tc>
        <w:tc>
          <w:tcPr>
            <w:tcW w:w="862" w:type="dxa"/>
          </w:tcPr>
          <w:p w14:paraId="3832D32E" w14:textId="77777777" w:rsidR="001D3356" w:rsidRDefault="00000000">
            <w:pPr>
              <w:widowControl w:val="0"/>
              <w:autoSpaceDE w:val="0"/>
              <w:autoSpaceDN w:val="0"/>
              <w:spacing w:before="4" w:line="233" w:lineRule="exact"/>
              <w:ind w:left="100" w:right="71"/>
              <w:rPr>
                <w:sz w:val="22"/>
                <w:szCs w:val="22"/>
              </w:rPr>
            </w:pPr>
            <w:r>
              <w:rPr>
                <w:spacing w:val="-2"/>
                <w:sz w:val="22"/>
                <w:szCs w:val="22"/>
              </w:rPr>
              <w:t>(0.923)</w:t>
            </w:r>
          </w:p>
        </w:tc>
        <w:tc>
          <w:tcPr>
            <w:tcW w:w="860" w:type="dxa"/>
          </w:tcPr>
          <w:p w14:paraId="10DC66D4" w14:textId="77777777" w:rsidR="001D3356" w:rsidRDefault="00000000">
            <w:pPr>
              <w:widowControl w:val="0"/>
              <w:autoSpaceDE w:val="0"/>
              <w:autoSpaceDN w:val="0"/>
              <w:spacing w:before="4" w:line="233" w:lineRule="exact"/>
              <w:ind w:left="99" w:right="71"/>
              <w:rPr>
                <w:sz w:val="22"/>
                <w:szCs w:val="22"/>
              </w:rPr>
            </w:pPr>
            <w:r>
              <w:rPr>
                <w:spacing w:val="-10"/>
                <w:sz w:val="22"/>
                <w:szCs w:val="22"/>
              </w:rPr>
              <w:t>-</w:t>
            </w:r>
          </w:p>
        </w:tc>
      </w:tr>
      <w:tr w:rsidR="001D3356" w14:paraId="0998B6EB" w14:textId="77777777">
        <w:trPr>
          <w:trHeight w:val="386"/>
        </w:trPr>
        <w:tc>
          <w:tcPr>
            <w:tcW w:w="2556" w:type="dxa"/>
          </w:tcPr>
          <w:p w14:paraId="21B969B9" w14:textId="77777777" w:rsidR="001D3356" w:rsidRDefault="00000000">
            <w:pPr>
              <w:widowControl w:val="0"/>
              <w:autoSpaceDE w:val="0"/>
              <w:autoSpaceDN w:val="0"/>
              <w:spacing w:line="260" w:lineRule="exact"/>
              <w:ind w:left="100" w:right="71"/>
              <w:rPr>
                <w:b/>
                <w:sz w:val="22"/>
                <w:szCs w:val="22"/>
              </w:rPr>
            </w:pPr>
            <w:r>
              <w:rPr>
                <w:b/>
                <w:sz w:val="22"/>
                <w:szCs w:val="22"/>
              </w:rPr>
              <w:t>Willingness to Overpay</w:t>
            </w:r>
          </w:p>
        </w:tc>
        <w:tc>
          <w:tcPr>
            <w:tcW w:w="1413" w:type="dxa"/>
          </w:tcPr>
          <w:p w14:paraId="6119B2F3" w14:textId="77777777" w:rsidR="001D3356" w:rsidRDefault="00000000">
            <w:pPr>
              <w:widowControl w:val="0"/>
              <w:autoSpaceDE w:val="0"/>
              <w:autoSpaceDN w:val="0"/>
              <w:spacing w:before="5"/>
              <w:ind w:left="100" w:right="71"/>
              <w:rPr>
                <w:sz w:val="22"/>
                <w:szCs w:val="22"/>
              </w:rPr>
            </w:pPr>
            <w:r>
              <w:rPr>
                <w:spacing w:val="-4"/>
                <w:sz w:val="22"/>
                <w:szCs w:val="22"/>
              </w:rPr>
              <w:t>4.21</w:t>
            </w:r>
          </w:p>
        </w:tc>
        <w:tc>
          <w:tcPr>
            <w:tcW w:w="1231" w:type="dxa"/>
          </w:tcPr>
          <w:p w14:paraId="31F2FED4" w14:textId="77777777" w:rsidR="001D3356" w:rsidRDefault="00000000">
            <w:pPr>
              <w:widowControl w:val="0"/>
              <w:autoSpaceDE w:val="0"/>
              <w:autoSpaceDN w:val="0"/>
              <w:spacing w:before="5"/>
              <w:ind w:left="101" w:right="71"/>
              <w:rPr>
                <w:sz w:val="22"/>
                <w:szCs w:val="22"/>
              </w:rPr>
            </w:pPr>
            <w:r>
              <w:rPr>
                <w:spacing w:val="-4"/>
                <w:sz w:val="22"/>
                <w:szCs w:val="22"/>
              </w:rPr>
              <w:t>1.52</w:t>
            </w:r>
          </w:p>
        </w:tc>
        <w:tc>
          <w:tcPr>
            <w:tcW w:w="859" w:type="dxa"/>
          </w:tcPr>
          <w:p w14:paraId="5226C9BB" w14:textId="77777777" w:rsidR="001D3356" w:rsidRDefault="00000000">
            <w:pPr>
              <w:widowControl w:val="0"/>
              <w:autoSpaceDE w:val="0"/>
              <w:autoSpaceDN w:val="0"/>
              <w:spacing w:before="5"/>
              <w:ind w:left="100" w:right="71"/>
              <w:rPr>
                <w:sz w:val="22"/>
                <w:szCs w:val="22"/>
              </w:rPr>
            </w:pPr>
            <w:r>
              <w:rPr>
                <w:spacing w:val="-2"/>
                <w:sz w:val="22"/>
                <w:szCs w:val="22"/>
              </w:rPr>
              <w:t>0.466</w:t>
            </w:r>
          </w:p>
        </w:tc>
        <w:tc>
          <w:tcPr>
            <w:tcW w:w="863" w:type="dxa"/>
          </w:tcPr>
          <w:p w14:paraId="3515E60C" w14:textId="77777777" w:rsidR="001D3356" w:rsidRDefault="00000000">
            <w:pPr>
              <w:widowControl w:val="0"/>
              <w:autoSpaceDE w:val="0"/>
              <w:autoSpaceDN w:val="0"/>
              <w:spacing w:before="5"/>
              <w:ind w:left="99" w:right="71"/>
              <w:rPr>
                <w:sz w:val="22"/>
                <w:szCs w:val="22"/>
              </w:rPr>
            </w:pPr>
            <w:r>
              <w:rPr>
                <w:spacing w:val="-2"/>
                <w:sz w:val="22"/>
                <w:szCs w:val="22"/>
              </w:rPr>
              <w:t>0.697</w:t>
            </w:r>
          </w:p>
        </w:tc>
        <w:tc>
          <w:tcPr>
            <w:tcW w:w="862" w:type="dxa"/>
          </w:tcPr>
          <w:p w14:paraId="24272F68" w14:textId="77777777" w:rsidR="001D3356" w:rsidRDefault="00000000">
            <w:pPr>
              <w:widowControl w:val="0"/>
              <w:autoSpaceDE w:val="0"/>
              <w:autoSpaceDN w:val="0"/>
              <w:spacing w:before="5"/>
              <w:ind w:left="96" w:right="71"/>
              <w:rPr>
                <w:sz w:val="22"/>
                <w:szCs w:val="22"/>
              </w:rPr>
            </w:pPr>
            <w:r>
              <w:rPr>
                <w:spacing w:val="-2"/>
                <w:sz w:val="22"/>
                <w:szCs w:val="22"/>
              </w:rPr>
              <w:t>0.703</w:t>
            </w:r>
          </w:p>
        </w:tc>
        <w:tc>
          <w:tcPr>
            <w:tcW w:w="860" w:type="dxa"/>
          </w:tcPr>
          <w:p w14:paraId="0E52627B" w14:textId="77777777" w:rsidR="001D3356" w:rsidRDefault="00000000">
            <w:pPr>
              <w:widowControl w:val="0"/>
              <w:autoSpaceDE w:val="0"/>
              <w:autoSpaceDN w:val="0"/>
              <w:spacing w:before="5"/>
              <w:ind w:left="96" w:right="71"/>
              <w:rPr>
                <w:sz w:val="22"/>
                <w:szCs w:val="22"/>
              </w:rPr>
            </w:pPr>
            <w:r>
              <w:rPr>
                <w:spacing w:val="-2"/>
                <w:sz w:val="22"/>
                <w:szCs w:val="22"/>
              </w:rPr>
              <w:t>(0.894)</w:t>
            </w:r>
          </w:p>
        </w:tc>
      </w:tr>
    </w:tbl>
    <w:p w14:paraId="42AE0B9F" w14:textId="77777777" w:rsidR="001D3356" w:rsidRDefault="001D3356">
      <w:pPr>
        <w:widowControl w:val="0"/>
        <w:autoSpaceDE w:val="0"/>
        <w:autoSpaceDN w:val="0"/>
        <w:spacing w:before="1" w:line="511" w:lineRule="auto"/>
        <w:ind w:right="71"/>
        <w:jc w:val="both"/>
        <w:rPr>
          <w:sz w:val="22"/>
          <w:szCs w:val="22"/>
        </w:rPr>
      </w:pPr>
    </w:p>
    <w:p w14:paraId="2A0099B8" w14:textId="77777777" w:rsidR="001D3356" w:rsidRDefault="00000000">
      <w:pPr>
        <w:widowControl w:val="0"/>
        <w:autoSpaceDE w:val="0"/>
        <w:autoSpaceDN w:val="0"/>
        <w:spacing w:line="268" w:lineRule="auto"/>
        <w:ind w:left="2259" w:right="71" w:hanging="1980"/>
        <w:rPr>
          <w:spacing w:val="11"/>
          <w:w w:val="104"/>
          <w:szCs w:val="22"/>
        </w:rPr>
      </w:pPr>
      <w:r>
        <w:rPr>
          <w:spacing w:val="10"/>
          <w:w w:val="104"/>
          <w:szCs w:val="22"/>
        </w:rPr>
        <w:t>All significant at p &lt; 0.05, diagonal (sloping) shows the root of the average square of the variance extracted for each construct</w:t>
      </w:r>
      <w:r>
        <w:rPr>
          <w:spacing w:val="11"/>
          <w:w w:val="104"/>
          <w:szCs w:val="22"/>
        </w:rPr>
        <w:t>.</w:t>
      </w:r>
    </w:p>
    <w:p w14:paraId="74160234" w14:textId="77777777" w:rsidR="001D3356" w:rsidRDefault="001D3356">
      <w:pPr>
        <w:widowControl w:val="0"/>
        <w:autoSpaceDE w:val="0"/>
        <w:autoSpaceDN w:val="0"/>
        <w:spacing w:line="268" w:lineRule="auto"/>
        <w:ind w:right="71"/>
        <w:rPr>
          <w:rFonts w:ascii="Calibri"/>
          <w:spacing w:val="11"/>
          <w:w w:val="104"/>
          <w:szCs w:val="22"/>
        </w:rPr>
      </w:pPr>
    </w:p>
    <w:p w14:paraId="0B5F8758" w14:textId="77777777" w:rsidR="001D3356" w:rsidRPr="00465329" w:rsidRDefault="00000000">
      <w:pPr>
        <w:widowControl w:val="0"/>
        <w:autoSpaceDE w:val="0"/>
        <w:autoSpaceDN w:val="0"/>
        <w:ind w:right="71" w:firstLine="720"/>
        <w:jc w:val="both"/>
        <w:rPr>
          <w:sz w:val="22"/>
          <w:szCs w:val="22"/>
        </w:rPr>
      </w:pPr>
      <w:r w:rsidRPr="00465329">
        <w:rPr>
          <w:sz w:val="22"/>
          <w:szCs w:val="22"/>
        </w:rPr>
        <w:t>AGFI = 0.835, CFI = 0.958, TLI = 0.952, RMSEA = 0.066, and NFI = 0.922. In the Overall, the results confirm the high compatibility of the model. The results of the chi square ratio to degrees of freedom are in the range of 2–3, GFI and AGFI are more than 0.80, and RMSEA is less than 0.08, which is an indication of a good absolute match. CFI and TLI over 0.95, and NFI over 0.90, also indicate the existence of a good incremental match.</w:t>
      </w:r>
    </w:p>
    <w:p w14:paraId="6AD7F795" w14:textId="77777777" w:rsidR="001D3356" w:rsidRPr="00465329" w:rsidRDefault="00000000">
      <w:pPr>
        <w:widowControl w:val="0"/>
        <w:autoSpaceDE w:val="0"/>
        <w:autoSpaceDN w:val="0"/>
        <w:ind w:right="71" w:firstLine="720"/>
        <w:jc w:val="both"/>
        <w:rPr>
          <w:sz w:val="22"/>
          <w:szCs w:val="22"/>
        </w:rPr>
      </w:pPr>
      <w:r w:rsidRPr="00465329">
        <w:rPr>
          <w:sz w:val="22"/>
          <w:szCs w:val="22"/>
        </w:rPr>
        <w:t>To test the age moderation property, we tested the interaction coefficient. The interaction coefficient of beauty orientation and age (age x OK) of 0.051 (p=0.310) was not significant. Therefore, age does not moderate the OK effect on KMD. The interaction coefficient of EFMA and age (age x EFMA) of -0.108 (p=0.032) was significant, indicating that age moderated the effect of EFMA on KMD.</w:t>
      </w:r>
    </w:p>
    <w:p w14:paraId="7A420D4E"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Next, to assess the predictive ability of the research model, we calculated the determination coefficient (R²). According to Hair et al. (2014), it is difficult to establish a rule of thumb for an acceptable R² value because it depends on the complexity of the model and the discipline of the research. Nonetheless, they considered an R² value of 0.20 to be high in consumer behavior studies. The R² values for predicting KMD and WTMP are 0.39 and 0.56. The results showed that all R² values were above the critical values, indicating the model had high predictive power for both </w:t>
      </w:r>
      <w:proofErr w:type="gramStart"/>
      <w:r w:rsidRPr="00465329">
        <w:rPr>
          <w:sz w:val="22"/>
          <w:szCs w:val="22"/>
        </w:rPr>
        <w:t>groups.</w:t>
      </w:r>
      <w:r w:rsidRPr="00465329">
        <w:rPr>
          <w:i/>
          <w:sz w:val="22"/>
          <w:szCs w:val="22"/>
          <w:lang w:eastAsia="en-GB"/>
        </w:rPr>
        <w:t>.</w:t>
      </w:r>
      <w:proofErr w:type="gramEnd"/>
      <w:r w:rsidRPr="00465329">
        <w:rPr>
          <w:i/>
          <w:sz w:val="22"/>
          <w:szCs w:val="22"/>
          <w:lang w:eastAsia="en-GB"/>
        </w:rPr>
        <w:t xml:space="preserve"> </w:t>
      </w:r>
    </w:p>
    <w:p w14:paraId="5305650B" w14:textId="77777777" w:rsidR="001D3356" w:rsidRDefault="00000000">
      <w:pPr>
        <w:spacing w:before="120" w:line="276" w:lineRule="auto"/>
        <w:rPr>
          <w:b/>
          <w:bCs/>
          <w:sz w:val="22"/>
          <w:szCs w:val="22"/>
        </w:rPr>
      </w:pPr>
      <w:r>
        <w:rPr>
          <w:b/>
          <w:bCs/>
          <w:sz w:val="22"/>
          <w:szCs w:val="22"/>
        </w:rPr>
        <w:t xml:space="preserve">Discussion </w:t>
      </w:r>
    </w:p>
    <w:p w14:paraId="11022CA4" w14:textId="77777777" w:rsidR="001D3356" w:rsidRPr="00465329" w:rsidRDefault="00000000">
      <w:pPr>
        <w:widowControl w:val="0"/>
        <w:autoSpaceDE w:val="0"/>
        <w:autoSpaceDN w:val="0"/>
        <w:ind w:right="71" w:firstLine="720"/>
        <w:jc w:val="both"/>
        <w:outlineLvl w:val="2"/>
        <w:rPr>
          <w:b/>
          <w:bCs/>
          <w:sz w:val="22"/>
          <w:szCs w:val="22"/>
        </w:rPr>
      </w:pPr>
      <w:r w:rsidRPr="00465329">
        <w:rPr>
          <w:sz w:val="22"/>
          <w:szCs w:val="22"/>
        </w:rPr>
        <w:t>Discussion We expect that BC will strengthen both SBC and WTMP, and the data support this hypothesis.</w:t>
      </w:r>
    </w:p>
    <w:p w14:paraId="1B775AA9" w14:textId="77777777" w:rsidR="001D3356" w:rsidRPr="00465329" w:rsidRDefault="00000000">
      <w:pPr>
        <w:widowControl w:val="0"/>
        <w:autoSpaceDE w:val="0"/>
        <w:autoSpaceDN w:val="0"/>
        <w:spacing w:after="1"/>
        <w:ind w:right="71"/>
        <w:jc w:val="center"/>
        <w:rPr>
          <w:b/>
          <w:sz w:val="22"/>
          <w:szCs w:val="22"/>
        </w:rPr>
      </w:pPr>
      <w:r w:rsidRPr="00465329">
        <w:rPr>
          <w:b/>
          <w:bCs/>
          <w:sz w:val="22"/>
          <w:szCs w:val="22"/>
        </w:rPr>
        <w:t>Table 3. Hypothesis Test Results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9"/>
        <w:gridCol w:w="3118"/>
        <w:gridCol w:w="1429"/>
        <w:gridCol w:w="1048"/>
        <w:gridCol w:w="1595"/>
      </w:tblGrid>
      <w:tr w:rsidR="001D3356" w:rsidRPr="00465329" w14:paraId="2008CF29" w14:textId="77777777">
        <w:trPr>
          <w:trHeight w:val="710"/>
        </w:trPr>
        <w:tc>
          <w:tcPr>
            <w:tcW w:w="1449" w:type="dxa"/>
          </w:tcPr>
          <w:p w14:paraId="4CDDB905" w14:textId="77777777" w:rsidR="001D3356" w:rsidRPr="00465329" w:rsidRDefault="00000000">
            <w:pPr>
              <w:widowControl w:val="0"/>
              <w:autoSpaceDE w:val="0"/>
              <w:autoSpaceDN w:val="0"/>
              <w:spacing w:before="5"/>
              <w:ind w:left="100" w:right="71"/>
              <w:jc w:val="center"/>
              <w:rPr>
                <w:b/>
                <w:sz w:val="22"/>
                <w:szCs w:val="22"/>
              </w:rPr>
            </w:pPr>
            <w:r w:rsidRPr="00465329">
              <w:rPr>
                <w:b/>
                <w:spacing w:val="-2"/>
                <w:sz w:val="22"/>
                <w:szCs w:val="22"/>
              </w:rPr>
              <w:t>Hypothesis</w:t>
            </w:r>
          </w:p>
        </w:tc>
        <w:tc>
          <w:tcPr>
            <w:tcW w:w="3118" w:type="dxa"/>
          </w:tcPr>
          <w:p w14:paraId="710FD46C" w14:textId="77777777" w:rsidR="001D3356" w:rsidRPr="00465329" w:rsidRDefault="00000000">
            <w:pPr>
              <w:widowControl w:val="0"/>
              <w:autoSpaceDE w:val="0"/>
              <w:autoSpaceDN w:val="0"/>
              <w:spacing w:before="5" w:line="264" w:lineRule="auto"/>
              <w:ind w:left="100" w:right="71"/>
              <w:jc w:val="center"/>
              <w:rPr>
                <w:b/>
                <w:sz w:val="22"/>
                <w:szCs w:val="22"/>
              </w:rPr>
            </w:pPr>
            <w:r w:rsidRPr="00465329">
              <w:rPr>
                <w:b/>
                <w:sz w:val="22"/>
                <w:szCs w:val="22"/>
              </w:rPr>
              <w:t>Independent Variables → Dependent Variables</w:t>
            </w:r>
          </w:p>
        </w:tc>
        <w:tc>
          <w:tcPr>
            <w:tcW w:w="1429" w:type="dxa"/>
          </w:tcPr>
          <w:p w14:paraId="07552AC0" w14:textId="77777777" w:rsidR="001D3356" w:rsidRPr="00465329" w:rsidRDefault="00000000">
            <w:pPr>
              <w:widowControl w:val="0"/>
              <w:autoSpaceDE w:val="0"/>
              <w:autoSpaceDN w:val="0"/>
              <w:spacing w:before="5" w:line="264" w:lineRule="auto"/>
              <w:ind w:left="101" w:right="71"/>
              <w:jc w:val="center"/>
              <w:rPr>
                <w:b/>
                <w:sz w:val="22"/>
                <w:szCs w:val="22"/>
              </w:rPr>
            </w:pPr>
            <w:r w:rsidRPr="00465329">
              <w:rPr>
                <w:b/>
                <w:spacing w:val="-2"/>
                <w:sz w:val="22"/>
                <w:szCs w:val="22"/>
              </w:rPr>
              <w:t>Coefficient (β)</w:t>
            </w:r>
          </w:p>
        </w:tc>
        <w:tc>
          <w:tcPr>
            <w:tcW w:w="1048" w:type="dxa"/>
          </w:tcPr>
          <w:p w14:paraId="6955B06F" w14:textId="77777777" w:rsidR="001D3356" w:rsidRPr="00465329" w:rsidRDefault="00000000">
            <w:pPr>
              <w:widowControl w:val="0"/>
              <w:autoSpaceDE w:val="0"/>
              <w:autoSpaceDN w:val="0"/>
              <w:spacing w:before="5"/>
              <w:ind w:left="102" w:right="71"/>
              <w:jc w:val="center"/>
              <w:rPr>
                <w:b/>
                <w:sz w:val="22"/>
                <w:szCs w:val="22"/>
              </w:rPr>
            </w:pPr>
            <w:r w:rsidRPr="00465329">
              <w:rPr>
                <w:b/>
                <w:sz w:val="22"/>
                <w:szCs w:val="22"/>
              </w:rPr>
              <w:t>T value</w:t>
            </w:r>
          </w:p>
        </w:tc>
        <w:tc>
          <w:tcPr>
            <w:tcW w:w="1595" w:type="dxa"/>
          </w:tcPr>
          <w:p w14:paraId="175E845E" w14:textId="77777777" w:rsidR="001D3356" w:rsidRPr="00465329" w:rsidRDefault="00000000">
            <w:pPr>
              <w:widowControl w:val="0"/>
              <w:autoSpaceDE w:val="0"/>
              <w:autoSpaceDN w:val="0"/>
              <w:spacing w:before="5"/>
              <w:ind w:left="104" w:right="71"/>
              <w:jc w:val="center"/>
              <w:rPr>
                <w:b/>
                <w:sz w:val="22"/>
                <w:szCs w:val="22"/>
              </w:rPr>
            </w:pPr>
            <w:r w:rsidRPr="00465329">
              <w:rPr>
                <w:b/>
                <w:spacing w:val="-2"/>
                <w:sz w:val="22"/>
                <w:szCs w:val="22"/>
              </w:rPr>
              <w:t>Conclusion</w:t>
            </w:r>
          </w:p>
        </w:tc>
      </w:tr>
      <w:tr w:rsidR="001D3356" w:rsidRPr="00465329" w14:paraId="6BD73103" w14:textId="77777777">
        <w:trPr>
          <w:trHeight w:val="430"/>
        </w:trPr>
        <w:tc>
          <w:tcPr>
            <w:tcW w:w="1449" w:type="dxa"/>
          </w:tcPr>
          <w:p w14:paraId="0D00168A" w14:textId="77777777" w:rsidR="001D3356" w:rsidRPr="00465329" w:rsidRDefault="00000000">
            <w:pPr>
              <w:widowControl w:val="0"/>
              <w:autoSpaceDE w:val="0"/>
              <w:autoSpaceDN w:val="0"/>
              <w:spacing w:before="3"/>
              <w:ind w:left="100" w:right="71"/>
              <w:jc w:val="center"/>
              <w:rPr>
                <w:sz w:val="22"/>
                <w:szCs w:val="22"/>
              </w:rPr>
            </w:pPr>
            <w:r w:rsidRPr="00465329">
              <w:rPr>
                <w:spacing w:val="-5"/>
                <w:sz w:val="22"/>
                <w:szCs w:val="22"/>
              </w:rPr>
              <w:t>H1</w:t>
            </w:r>
          </w:p>
        </w:tc>
        <w:tc>
          <w:tcPr>
            <w:tcW w:w="3118" w:type="dxa"/>
          </w:tcPr>
          <w:p w14:paraId="576D59EA" w14:textId="77777777" w:rsidR="001D3356" w:rsidRPr="00465329" w:rsidRDefault="00000000">
            <w:pPr>
              <w:widowControl w:val="0"/>
              <w:autoSpaceDE w:val="0"/>
              <w:autoSpaceDN w:val="0"/>
              <w:spacing w:before="3"/>
              <w:ind w:left="101" w:right="71"/>
              <w:jc w:val="center"/>
              <w:rPr>
                <w:sz w:val="22"/>
                <w:szCs w:val="22"/>
              </w:rPr>
            </w:pPr>
            <w:r w:rsidRPr="00465329">
              <w:rPr>
                <w:sz w:val="22"/>
                <w:szCs w:val="22"/>
              </w:rPr>
              <w:t>BC</w:t>
            </w:r>
            <w:r w:rsidRPr="00465329">
              <w:rPr>
                <w:spacing w:val="3"/>
                <w:sz w:val="22"/>
                <w:szCs w:val="22"/>
              </w:rPr>
              <w:t xml:space="preserve"> </w:t>
            </w:r>
            <w:r w:rsidRPr="00465329">
              <w:rPr>
                <w:sz w:val="22"/>
                <w:szCs w:val="22"/>
              </w:rPr>
              <w:t>→</w:t>
            </w:r>
            <w:r w:rsidRPr="00465329">
              <w:rPr>
                <w:spacing w:val="9"/>
                <w:sz w:val="22"/>
                <w:szCs w:val="22"/>
              </w:rPr>
              <w:t xml:space="preserve"> </w:t>
            </w:r>
            <w:r w:rsidRPr="00465329">
              <w:rPr>
                <w:spacing w:val="-5"/>
                <w:sz w:val="22"/>
                <w:szCs w:val="22"/>
              </w:rPr>
              <w:t>SBC</w:t>
            </w:r>
          </w:p>
        </w:tc>
        <w:tc>
          <w:tcPr>
            <w:tcW w:w="1429" w:type="dxa"/>
          </w:tcPr>
          <w:p w14:paraId="191F3F2D" w14:textId="77777777" w:rsidR="001D3356" w:rsidRPr="00465329" w:rsidRDefault="00000000">
            <w:pPr>
              <w:widowControl w:val="0"/>
              <w:autoSpaceDE w:val="0"/>
              <w:autoSpaceDN w:val="0"/>
              <w:spacing w:before="3"/>
              <w:ind w:left="99" w:right="71"/>
              <w:jc w:val="center"/>
              <w:rPr>
                <w:sz w:val="22"/>
                <w:szCs w:val="22"/>
              </w:rPr>
            </w:pPr>
            <w:r w:rsidRPr="00465329">
              <w:rPr>
                <w:spacing w:val="-2"/>
                <w:sz w:val="22"/>
                <w:szCs w:val="22"/>
              </w:rPr>
              <w:t>0.260</w:t>
            </w:r>
          </w:p>
        </w:tc>
        <w:tc>
          <w:tcPr>
            <w:tcW w:w="1048" w:type="dxa"/>
          </w:tcPr>
          <w:p w14:paraId="5EC75AAB" w14:textId="77777777" w:rsidR="001D3356" w:rsidRPr="00465329" w:rsidRDefault="00000000">
            <w:pPr>
              <w:widowControl w:val="0"/>
              <w:autoSpaceDE w:val="0"/>
              <w:autoSpaceDN w:val="0"/>
              <w:spacing w:before="3"/>
              <w:ind w:left="100" w:right="71"/>
              <w:jc w:val="center"/>
              <w:rPr>
                <w:sz w:val="22"/>
                <w:szCs w:val="22"/>
              </w:rPr>
            </w:pPr>
            <w:r w:rsidRPr="00465329">
              <w:rPr>
                <w:spacing w:val="-2"/>
                <w:sz w:val="22"/>
                <w:szCs w:val="22"/>
              </w:rPr>
              <w:t>4.867**</w:t>
            </w:r>
          </w:p>
        </w:tc>
        <w:tc>
          <w:tcPr>
            <w:tcW w:w="1595" w:type="dxa"/>
          </w:tcPr>
          <w:p w14:paraId="20EE2A3D" w14:textId="77777777" w:rsidR="001D3356" w:rsidRPr="00465329" w:rsidRDefault="00000000">
            <w:pPr>
              <w:widowControl w:val="0"/>
              <w:autoSpaceDE w:val="0"/>
              <w:autoSpaceDN w:val="0"/>
              <w:spacing w:before="3"/>
              <w:ind w:left="101" w:right="71"/>
              <w:jc w:val="center"/>
              <w:rPr>
                <w:sz w:val="22"/>
                <w:szCs w:val="22"/>
              </w:rPr>
            </w:pPr>
            <w:r w:rsidRPr="00465329">
              <w:rPr>
                <w:spacing w:val="-2"/>
                <w:sz w:val="22"/>
                <w:szCs w:val="22"/>
              </w:rPr>
              <w:t>Conclusion</w:t>
            </w:r>
          </w:p>
        </w:tc>
      </w:tr>
      <w:tr w:rsidR="001D3356" w:rsidRPr="00465329" w14:paraId="3CE3D818" w14:textId="77777777">
        <w:trPr>
          <w:trHeight w:val="257"/>
        </w:trPr>
        <w:tc>
          <w:tcPr>
            <w:tcW w:w="1449" w:type="dxa"/>
          </w:tcPr>
          <w:p w14:paraId="39802B8A" w14:textId="77777777" w:rsidR="001D3356" w:rsidRPr="00465329" w:rsidRDefault="00000000">
            <w:pPr>
              <w:widowControl w:val="0"/>
              <w:autoSpaceDE w:val="0"/>
              <w:autoSpaceDN w:val="0"/>
              <w:spacing w:before="4" w:line="233" w:lineRule="exact"/>
              <w:ind w:left="100" w:right="71"/>
              <w:jc w:val="center"/>
              <w:rPr>
                <w:sz w:val="22"/>
                <w:szCs w:val="22"/>
              </w:rPr>
            </w:pPr>
            <w:r w:rsidRPr="00465329">
              <w:rPr>
                <w:spacing w:val="-5"/>
                <w:sz w:val="22"/>
                <w:szCs w:val="22"/>
              </w:rPr>
              <w:t>H2</w:t>
            </w:r>
          </w:p>
        </w:tc>
        <w:tc>
          <w:tcPr>
            <w:tcW w:w="3118" w:type="dxa"/>
          </w:tcPr>
          <w:p w14:paraId="051312E5" w14:textId="77777777" w:rsidR="001D3356" w:rsidRPr="00465329" w:rsidRDefault="00000000">
            <w:pPr>
              <w:widowControl w:val="0"/>
              <w:autoSpaceDE w:val="0"/>
              <w:autoSpaceDN w:val="0"/>
              <w:spacing w:before="4" w:line="233" w:lineRule="exact"/>
              <w:ind w:left="100" w:right="71"/>
              <w:jc w:val="center"/>
              <w:rPr>
                <w:sz w:val="22"/>
                <w:szCs w:val="22"/>
              </w:rPr>
            </w:pPr>
            <w:r w:rsidRPr="00465329">
              <w:rPr>
                <w:sz w:val="22"/>
                <w:szCs w:val="22"/>
              </w:rPr>
              <w:t>BC</w:t>
            </w:r>
            <w:r w:rsidRPr="00465329">
              <w:rPr>
                <w:spacing w:val="4"/>
                <w:sz w:val="22"/>
                <w:szCs w:val="22"/>
              </w:rPr>
              <w:t xml:space="preserve"> </w:t>
            </w:r>
            <w:r w:rsidRPr="00465329">
              <w:rPr>
                <w:sz w:val="22"/>
                <w:szCs w:val="22"/>
              </w:rPr>
              <w:t>→</w:t>
            </w:r>
            <w:r w:rsidRPr="00465329">
              <w:rPr>
                <w:spacing w:val="1"/>
                <w:sz w:val="22"/>
                <w:szCs w:val="22"/>
              </w:rPr>
              <w:t xml:space="preserve"> </w:t>
            </w:r>
            <w:r w:rsidRPr="00465329">
              <w:rPr>
                <w:spacing w:val="-4"/>
                <w:sz w:val="22"/>
                <w:szCs w:val="22"/>
              </w:rPr>
              <w:t>WTPM</w:t>
            </w:r>
          </w:p>
        </w:tc>
        <w:tc>
          <w:tcPr>
            <w:tcW w:w="1429" w:type="dxa"/>
          </w:tcPr>
          <w:p w14:paraId="47C892CA" w14:textId="77777777" w:rsidR="001D3356" w:rsidRPr="00465329" w:rsidRDefault="00000000">
            <w:pPr>
              <w:widowControl w:val="0"/>
              <w:autoSpaceDE w:val="0"/>
              <w:autoSpaceDN w:val="0"/>
              <w:spacing w:before="4" w:line="233" w:lineRule="exact"/>
              <w:ind w:left="101" w:right="71"/>
              <w:jc w:val="center"/>
              <w:rPr>
                <w:sz w:val="22"/>
                <w:szCs w:val="22"/>
              </w:rPr>
            </w:pPr>
            <w:r w:rsidRPr="00465329">
              <w:rPr>
                <w:spacing w:val="-4"/>
                <w:sz w:val="22"/>
                <w:szCs w:val="22"/>
              </w:rPr>
              <w:t>0.106</w:t>
            </w:r>
          </w:p>
        </w:tc>
        <w:tc>
          <w:tcPr>
            <w:tcW w:w="1048" w:type="dxa"/>
          </w:tcPr>
          <w:p w14:paraId="74B420AD" w14:textId="77777777" w:rsidR="001D3356" w:rsidRPr="00465329" w:rsidRDefault="00000000">
            <w:pPr>
              <w:widowControl w:val="0"/>
              <w:autoSpaceDE w:val="0"/>
              <w:autoSpaceDN w:val="0"/>
              <w:spacing w:before="4" w:line="233" w:lineRule="exact"/>
              <w:ind w:left="102" w:right="71"/>
              <w:jc w:val="center"/>
              <w:rPr>
                <w:sz w:val="22"/>
                <w:szCs w:val="22"/>
              </w:rPr>
            </w:pPr>
            <w:r w:rsidRPr="00465329">
              <w:rPr>
                <w:spacing w:val="-2"/>
                <w:sz w:val="22"/>
                <w:szCs w:val="22"/>
              </w:rPr>
              <w:t>2.140*</w:t>
            </w:r>
          </w:p>
        </w:tc>
        <w:tc>
          <w:tcPr>
            <w:tcW w:w="1595" w:type="dxa"/>
          </w:tcPr>
          <w:p w14:paraId="3D56901F" w14:textId="77777777" w:rsidR="001D3356" w:rsidRPr="00465329" w:rsidRDefault="00000000">
            <w:pPr>
              <w:widowControl w:val="0"/>
              <w:autoSpaceDE w:val="0"/>
              <w:autoSpaceDN w:val="0"/>
              <w:ind w:right="71"/>
              <w:jc w:val="center"/>
              <w:rPr>
                <w:sz w:val="22"/>
                <w:szCs w:val="22"/>
              </w:rPr>
            </w:pPr>
            <w:r w:rsidRPr="00465329">
              <w:rPr>
                <w:spacing w:val="-2"/>
                <w:sz w:val="22"/>
                <w:szCs w:val="22"/>
              </w:rPr>
              <w:t>Conclusion</w:t>
            </w:r>
          </w:p>
        </w:tc>
      </w:tr>
      <w:tr w:rsidR="001D3356" w:rsidRPr="00465329" w14:paraId="38965444" w14:textId="77777777">
        <w:trPr>
          <w:trHeight w:val="258"/>
        </w:trPr>
        <w:tc>
          <w:tcPr>
            <w:tcW w:w="1449" w:type="dxa"/>
          </w:tcPr>
          <w:p w14:paraId="0BE5DA9A" w14:textId="77777777" w:rsidR="001D3356" w:rsidRPr="00465329" w:rsidRDefault="00000000">
            <w:pPr>
              <w:widowControl w:val="0"/>
              <w:autoSpaceDE w:val="0"/>
              <w:autoSpaceDN w:val="0"/>
              <w:spacing w:before="5" w:line="233" w:lineRule="exact"/>
              <w:ind w:left="100" w:right="71"/>
              <w:jc w:val="center"/>
              <w:rPr>
                <w:sz w:val="22"/>
                <w:szCs w:val="22"/>
              </w:rPr>
            </w:pPr>
            <w:r w:rsidRPr="00465329">
              <w:rPr>
                <w:spacing w:val="-5"/>
                <w:sz w:val="22"/>
                <w:szCs w:val="22"/>
              </w:rPr>
              <w:t>H3</w:t>
            </w:r>
          </w:p>
        </w:tc>
        <w:tc>
          <w:tcPr>
            <w:tcW w:w="3118" w:type="dxa"/>
          </w:tcPr>
          <w:p w14:paraId="0BFFFD2C" w14:textId="77777777" w:rsidR="001D3356" w:rsidRPr="00465329" w:rsidRDefault="00000000">
            <w:pPr>
              <w:widowControl w:val="0"/>
              <w:tabs>
                <w:tab w:val="center" w:pos="1568"/>
              </w:tabs>
              <w:autoSpaceDE w:val="0"/>
              <w:autoSpaceDN w:val="0"/>
              <w:spacing w:before="5" w:line="233" w:lineRule="exact"/>
              <w:ind w:left="100" w:right="71"/>
              <w:rPr>
                <w:sz w:val="22"/>
                <w:szCs w:val="22"/>
              </w:rPr>
            </w:pPr>
            <w:r w:rsidRPr="00465329">
              <w:rPr>
                <w:sz w:val="22"/>
                <w:szCs w:val="22"/>
              </w:rPr>
              <w:tab/>
              <w:t>FBHE</w:t>
            </w:r>
            <w:r w:rsidRPr="00465329">
              <w:rPr>
                <w:spacing w:val="7"/>
                <w:sz w:val="22"/>
                <w:szCs w:val="22"/>
              </w:rPr>
              <w:t xml:space="preserve"> </w:t>
            </w:r>
            <w:r w:rsidRPr="00465329">
              <w:rPr>
                <w:sz w:val="22"/>
                <w:szCs w:val="22"/>
              </w:rPr>
              <w:t>→</w:t>
            </w:r>
            <w:r w:rsidRPr="00465329">
              <w:rPr>
                <w:spacing w:val="9"/>
                <w:sz w:val="22"/>
                <w:szCs w:val="22"/>
              </w:rPr>
              <w:t xml:space="preserve"> </w:t>
            </w:r>
            <w:r w:rsidRPr="00465329">
              <w:rPr>
                <w:spacing w:val="-5"/>
                <w:sz w:val="22"/>
                <w:szCs w:val="22"/>
              </w:rPr>
              <w:t>SBC</w:t>
            </w:r>
          </w:p>
        </w:tc>
        <w:tc>
          <w:tcPr>
            <w:tcW w:w="1429" w:type="dxa"/>
          </w:tcPr>
          <w:p w14:paraId="76A02F70" w14:textId="77777777" w:rsidR="001D3356" w:rsidRPr="00465329" w:rsidRDefault="00000000">
            <w:pPr>
              <w:widowControl w:val="0"/>
              <w:autoSpaceDE w:val="0"/>
              <w:autoSpaceDN w:val="0"/>
              <w:spacing w:before="5" w:line="233" w:lineRule="exact"/>
              <w:ind w:left="101" w:right="71"/>
              <w:jc w:val="center"/>
              <w:rPr>
                <w:sz w:val="22"/>
                <w:szCs w:val="22"/>
              </w:rPr>
            </w:pPr>
            <w:r w:rsidRPr="00465329">
              <w:rPr>
                <w:spacing w:val="-4"/>
                <w:sz w:val="22"/>
                <w:szCs w:val="22"/>
              </w:rPr>
              <w:t>0.557</w:t>
            </w:r>
          </w:p>
        </w:tc>
        <w:tc>
          <w:tcPr>
            <w:tcW w:w="1048" w:type="dxa"/>
          </w:tcPr>
          <w:p w14:paraId="7A48CD33" w14:textId="77777777" w:rsidR="001D3356" w:rsidRPr="00465329" w:rsidRDefault="00000000">
            <w:pPr>
              <w:widowControl w:val="0"/>
              <w:autoSpaceDE w:val="0"/>
              <w:autoSpaceDN w:val="0"/>
              <w:spacing w:before="5" w:line="233" w:lineRule="exact"/>
              <w:ind w:left="102" w:right="71"/>
              <w:jc w:val="center"/>
              <w:rPr>
                <w:sz w:val="22"/>
                <w:szCs w:val="22"/>
              </w:rPr>
            </w:pPr>
            <w:r w:rsidRPr="00465329">
              <w:rPr>
                <w:spacing w:val="-2"/>
                <w:sz w:val="22"/>
                <w:szCs w:val="22"/>
              </w:rPr>
              <w:t>10.250**</w:t>
            </w:r>
          </w:p>
        </w:tc>
        <w:tc>
          <w:tcPr>
            <w:tcW w:w="1595" w:type="dxa"/>
          </w:tcPr>
          <w:p w14:paraId="55F524EC" w14:textId="77777777" w:rsidR="001D3356" w:rsidRPr="00465329" w:rsidRDefault="00000000">
            <w:pPr>
              <w:widowControl w:val="0"/>
              <w:autoSpaceDE w:val="0"/>
              <w:autoSpaceDN w:val="0"/>
              <w:ind w:right="71"/>
              <w:jc w:val="center"/>
              <w:rPr>
                <w:sz w:val="22"/>
                <w:szCs w:val="22"/>
              </w:rPr>
            </w:pPr>
            <w:r w:rsidRPr="00465329">
              <w:rPr>
                <w:spacing w:val="-2"/>
                <w:sz w:val="22"/>
                <w:szCs w:val="22"/>
              </w:rPr>
              <w:t>Conclusion</w:t>
            </w:r>
          </w:p>
        </w:tc>
      </w:tr>
      <w:tr w:rsidR="001D3356" w:rsidRPr="00465329" w14:paraId="6E40A59C" w14:textId="77777777">
        <w:trPr>
          <w:trHeight w:val="258"/>
        </w:trPr>
        <w:tc>
          <w:tcPr>
            <w:tcW w:w="1449" w:type="dxa"/>
          </w:tcPr>
          <w:p w14:paraId="7A2B8912"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pacing w:val="-5"/>
                <w:sz w:val="22"/>
                <w:szCs w:val="22"/>
              </w:rPr>
              <w:t>H4</w:t>
            </w:r>
          </w:p>
        </w:tc>
        <w:tc>
          <w:tcPr>
            <w:tcW w:w="3118" w:type="dxa"/>
          </w:tcPr>
          <w:p w14:paraId="7336659B"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z w:val="22"/>
                <w:szCs w:val="22"/>
              </w:rPr>
              <w:t>FBHE</w:t>
            </w:r>
            <w:r w:rsidRPr="00465329">
              <w:rPr>
                <w:spacing w:val="7"/>
                <w:sz w:val="22"/>
                <w:szCs w:val="22"/>
              </w:rPr>
              <w:t xml:space="preserve"> </w:t>
            </w:r>
            <w:r w:rsidRPr="00465329">
              <w:rPr>
                <w:sz w:val="22"/>
                <w:szCs w:val="22"/>
              </w:rPr>
              <w:t>→</w:t>
            </w:r>
            <w:r w:rsidRPr="00465329">
              <w:rPr>
                <w:spacing w:val="2"/>
                <w:sz w:val="22"/>
                <w:szCs w:val="22"/>
              </w:rPr>
              <w:t xml:space="preserve"> </w:t>
            </w:r>
            <w:r w:rsidRPr="00465329">
              <w:rPr>
                <w:spacing w:val="-4"/>
                <w:sz w:val="22"/>
                <w:szCs w:val="22"/>
              </w:rPr>
              <w:t>WTPM</w:t>
            </w:r>
          </w:p>
        </w:tc>
        <w:tc>
          <w:tcPr>
            <w:tcW w:w="1429" w:type="dxa"/>
          </w:tcPr>
          <w:p w14:paraId="08E4E512" w14:textId="77777777" w:rsidR="001D3356" w:rsidRPr="00465329" w:rsidRDefault="00000000">
            <w:pPr>
              <w:widowControl w:val="0"/>
              <w:autoSpaceDE w:val="0"/>
              <w:autoSpaceDN w:val="0"/>
              <w:spacing w:before="3" w:line="236" w:lineRule="exact"/>
              <w:ind w:left="101" w:right="71"/>
              <w:jc w:val="center"/>
              <w:rPr>
                <w:sz w:val="22"/>
                <w:szCs w:val="22"/>
              </w:rPr>
            </w:pPr>
            <w:r w:rsidRPr="00465329">
              <w:rPr>
                <w:spacing w:val="-4"/>
                <w:sz w:val="22"/>
                <w:szCs w:val="22"/>
              </w:rPr>
              <w:t>0.421</w:t>
            </w:r>
          </w:p>
        </w:tc>
        <w:tc>
          <w:tcPr>
            <w:tcW w:w="1048" w:type="dxa"/>
          </w:tcPr>
          <w:p w14:paraId="50349D75" w14:textId="77777777" w:rsidR="001D3356" w:rsidRPr="00465329" w:rsidRDefault="00000000">
            <w:pPr>
              <w:widowControl w:val="0"/>
              <w:autoSpaceDE w:val="0"/>
              <w:autoSpaceDN w:val="0"/>
              <w:spacing w:before="3" w:line="236" w:lineRule="exact"/>
              <w:ind w:left="102" w:right="71"/>
              <w:jc w:val="center"/>
              <w:rPr>
                <w:sz w:val="22"/>
                <w:szCs w:val="22"/>
              </w:rPr>
            </w:pPr>
            <w:r w:rsidRPr="00465329">
              <w:rPr>
                <w:spacing w:val="-2"/>
                <w:sz w:val="22"/>
                <w:szCs w:val="22"/>
              </w:rPr>
              <w:t>7.126**</w:t>
            </w:r>
          </w:p>
        </w:tc>
        <w:tc>
          <w:tcPr>
            <w:tcW w:w="1595" w:type="dxa"/>
          </w:tcPr>
          <w:p w14:paraId="0D897B02" w14:textId="77777777" w:rsidR="001D3356" w:rsidRPr="00465329" w:rsidRDefault="00000000">
            <w:pPr>
              <w:widowControl w:val="0"/>
              <w:autoSpaceDE w:val="0"/>
              <w:autoSpaceDN w:val="0"/>
              <w:ind w:right="71"/>
              <w:jc w:val="center"/>
              <w:rPr>
                <w:sz w:val="22"/>
                <w:szCs w:val="22"/>
              </w:rPr>
            </w:pPr>
            <w:r w:rsidRPr="00465329">
              <w:rPr>
                <w:spacing w:val="-2"/>
                <w:sz w:val="22"/>
                <w:szCs w:val="22"/>
              </w:rPr>
              <w:t>Conclusion</w:t>
            </w:r>
          </w:p>
        </w:tc>
      </w:tr>
      <w:tr w:rsidR="001D3356" w:rsidRPr="00465329" w14:paraId="7763FF4A" w14:textId="77777777">
        <w:trPr>
          <w:trHeight w:val="204"/>
        </w:trPr>
        <w:tc>
          <w:tcPr>
            <w:tcW w:w="1449" w:type="dxa"/>
          </w:tcPr>
          <w:p w14:paraId="411E401E" w14:textId="77777777" w:rsidR="001D3356" w:rsidRPr="00465329" w:rsidRDefault="00000000">
            <w:pPr>
              <w:widowControl w:val="0"/>
              <w:autoSpaceDE w:val="0"/>
              <w:autoSpaceDN w:val="0"/>
              <w:spacing w:before="3"/>
              <w:ind w:left="100" w:right="71"/>
              <w:jc w:val="center"/>
              <w:rPr>
                <w:sz w:val="22"/>
                <w:szCs w:val="22"/>
              </w:rPr>
            </w:pPr>
            <w:r w:rsidRPr="00465329">
              <w:rPr>
                <w:spacing w:val="-5"/>
                <w:sz w:val="22"/>
                <w:szCs w:val="22"/>
              </w:rPr>
              <w:t>H5</w:t>
            </w:r>
          </w:p>
        </w:tc>
        <w:tc>
          <w:tcPr>
            <w:tcW w:w="3118" w:type="dxa"/>
          </w:tcPr>
          <w:p w14:paraId="408E8ED9" w14:textId="77777777" w:rsidR="001D3356" w:rsidRPr="00465329" w:rsidRDefault="00000000">
            <w:pPr>
              <w:widowControl w:val="0"/>
              <w:autoSpaceDE w:val="0"/>
              <w:autoSpaceDN w:val="0"/>
              <w:spacing w:before="3"/>
              <w:ind w:left="101" w:right="71"/>
              <w:jc w:val="center"/>
              <w:rPr>
                <w:sz w:val="22"/>
                <w:szCs w:val="22"/>
              </w:rPr>
            </w:pPr>
            <w:r w:rsidRPr="00465329">
              <w:rPr>
                <w:sz w:val="22"/>
                <w:szCs w:val="22"/>
              </w:rPr>
              <w:t>Age</w:t>
            </w:r>
            <w:r w:rsidRPr="00465329">
              <w:rPr>
                <w:spacing w:val="3"/>
                <w:sz w:val="22"/>
                <w:szCs w:val="22"/>
              </w:rPr>
              <w:t xml:space="preserve"> </w:t>
            </w:r>
            <w:r w:rsidRPr="00465329">
              <w:rPr>
                <w:sz w:val="22"/>
                <w:szCs w:val="22"/>
              </w:rPr>
              <w:t>x</w:t>
            </w:r>
            <w:r w:rsidRPr="00465329">
              <w:rPr>
                <w:spacing w:val="6"/>
                <w:sz w:val="22"/>
                <w:szCs w:val="22"/>
              </w:rPr>
              <w:t xml:space="preserve"> </w:t>
            </w:r>
            <w:r w:rsidRPr="00465329">
              <w:rPr>
                <w:sz w:val="22"/>
                <w:szCs w:val="22"/>
              </w:rPr>
              <w:t>BC</w:t>
            </w:r>
            <w:r w:rsidRPr="00465329">
              <w:rPr>
                <w:spacing w:val="2"/>
                <w:sz w:val="22"/>
                <w:szCs w:val="22"/>
              </w:rPr>
              <w:t xml:space="preserve"> </w:t>
            </w:r>
            <w:r w:rsidRPr="00465329">
              <w:rPr>
                <w:sz w:val="22"/>
                <w:szCs w:val="22"/>
              </w:rPr>
              <w:t>→</w:t>
            </w:r>
            <w:r w:rsidRPr="00465329">
              <w:rPr>
                <w:spacing w:val="8"/>
                <w:sz w:val="22"/>
                <w:szCs w:val="22"/>
              </w:rPr>
              <w:t xml:space="preserve"> </w:t>
            </w:r>
            <w:r w:rsidRPr="00465329">
              <w:rPr>
                <w:spacing w:val="-5"/>
                <w:sz w:val="22"/>
                <w:szCs w:val="22"/>
              </w:rPr>
              <w:t>SBC</w:t>
            </w:r>
          </w:p>
        </w:tc>
        <w:tc>
          <w:tcPr>
            <w:tcW w:w="1429" w:type="dxa"/>
          </w:tcPr>
          <w:p w14:paraId="380AED67" w14:textId="77777777" w:rsidR="001D3356" w:rsidRPr="00465329" w:rsidRDefault="00000000">
            <w:pPr>
              <w:widowControl w:val="0"/>
              <w:autoSpaceDE w:val="0"/>
              <w:autoSpaceDN w:val="0"/>
              <w:spacing w:before="3"/>
              <w:ind w:left="98" w:right="71"/>
              <w:jc w:val="center"/>
              <w:rPr>
                <w:sz w:val="22"/>
                <w:szCs w:val="22"/>
              </w:rPr>
            </w:pPr>
            <w:r w:rsidRPr="00465329">
              <w:rPr>
                <w:spacing w:val="-4"/>
                <w:sz w:val="22"/>
                <w:szCs w:val="22"/>
              </w:rPr>
              <w:t>0.051</w:t>
            </w:r>
          </w:p>
        </w:tc>
        <w:tc>
          <w:tcPr>
            <w:tcW w:w="1048" w:type="dxa"/>
          </w:tcPr>
          <w:p w14:paraId="164268B4" w14:textId="77777777" w:rsidR="001D3356" w:rsidRPr="00465329" w:rsidRDefault="00000000">
            <w:pPr>
              <w:widowControl w:val="0"/>
              <w:autoSpaceDE w:val="0"/>
              <w:autoSpaceDN w:val="0"/>
              <w:spacing w:before="3"/>
              <w:ind w:left="99" w:right="71"/>
              <w:jc w:val="center"/>
              <w:rPr>
                <w:sz w:val="22"/>
                <w:szCs w:val="22"/>
              </w:rPr>
            </w:pPr>
            <w:r w:rsidRPr="00465329">
              <w:rPr>
                <w:spacing w:val="-2"/>
                <w:sz w:val="22"/>
                <w:szCs w:val="22"/>
              </w:rPr>
              <w:t>1.015</w:t>
            </w:r>
          </w:p>
        </w:tc>
        <w:tc>
          <w:tcPr>
            <w:tcW w:w="1595" w:type="dxa"/>
          </w:tcPr>
          <w:p w14:paraId="0CB78488" w14:textId="77777777" w:rsidR="001D3356" w:rsidRPr="00465329" w:rsidRDefault="00000000">
            <w:pPr>
              <w:widowControl w:val="0"/>
              <w:autoSpaceDE w:val="0"/>
              <w:autoSpaceDN w:val="0"/>
              <w:spacing w:line="260" w:lineRule="exact"/>
              <w:ind w:left="105" w:right="71" w:hanging="5"/>
              <w:jc w:val="center"/>
              <w:rPr>
                <w:sz w:val="22"/>
                <w:szCs w:val="22"/>
              </w:rPr>
            </w:pPr>
            <w:r w:rsidRPr="00465329">
              <w:rPr>
                <w:spacing w:val="-2"/>
                <w:sz w:val="22"/>
                <w:szCs w:val="22"/>
              </w:rPr>
              <w:t>Not Supported</w:t>
            </w:r>
          </w:p>
        </w:tc>
      </w:tr>
      <w:tr w:rsidR="001D3356" w:rsidRPr="00465329" w14:paraId="541B2148" w14:textId="77777777">
        <w:trPr>
          <w:trHeight w:val="259"/>
        </w:trPr>
        <w:tc>
          <w:tcPr>
            <w:tcW w:w="1449" w:type="dxa"/>
          </w:tcPr>
          <w:p w14:paraId="5245A854"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pacing w:val="-5"/>
                <w:sz w:val="22"/>
                <w:szCs w:val="22"/>
              </w:rPr>
              <w:t>H6</w:t>
            </w:r>
          </w:p>
        </w:tc>
        <w:tc>
          <w:tcPr>
            <w:tcW w:w="3118" w:type="dxa"/>
          </w:tcPr>
          <w:p w14:paraId="55576E77"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z w:val="22"/>
                <w:szCs w:val="22"/>
              </w:rPr>
              <w:t>Age</w:t>
            </w:r>
            <w:r w:rsidRPr="00465329">
              <w:rPr>
                <w:spacing w:val="5"/>
                <w:sz w:val="22"/>
                <w:szCs w:val="22"/>
              </w:rPr>
              <w:t xml:space="preserve"> </w:t>
            </w:r>
            <w:r w:rsidRPr="00465329">
              <w:rPr>
                <w:sz w:val="22"/>
                <w:szCs w:val="22"/>
              </w:rPr>
              <w:t>x</w:t>
            </w:r>
            <w:r w:rsidRPr="00465329">
              <w:rPr>
                <w:spacing w:val="7"/>
                <w:sz w:val="22"/>
                <w:szCs w:val="22"/>
              </w:rPr>
              <w:t xml:space="preserve"> </w:t>
            </w:r>
            <w:r w:rsidRPr="00465329">
              <w:rPr>
                <w:sz w:val="22"/>
                <w:szCs w:val="22"/>
              </w:rPr>
              <w:t>FBHE</w:t>
            </w:r>
            <w:r w:rsidRPr="00465329">
              <w:rPr>
                <w:spacing w:val="8"/>
                <w:sz w:val="22"/>
                <w:szCs w:val="22"/>
              </w:rPr>
              <w:t xml:space="preserve"> </w:t>
            </w:r>
            <w:r w:rsidRPr="00465329">
              <w:rPr>
                <w:sz w:val="22"/>
                <w:szCs w:val="22"/>
              </w:rPr>
              <w:t>→</w:t>
            </w:r>
            <w:r w:rsidRPr="00465329">
              <w:rPr>
                <w:spacing w:val="10"/>
                <w:sz w:val="22"/>
                <w:szCs w:val="22"/>
              </w:rPr>
              <w:t xml:space="preserve"> </w:t>
            </w:r>
            <w:r w:rsidRPr="00465329">
              <w:rPr>
                <w:spacing w:val="-5"/>
                <w:sz w:val="22"/>
                <w:szCs w:val="22"/>
              </w:rPr>
              <w:t>SBC</w:t>
            </w:r>
          </w:p>
        </w:tc>
        <w:tc>
          <w:tcPr>
            <w:tcW w:w="1429" w:type="dxa"/>
          </w:tcPr>
          <w:p w14:paraId="16359DCE" w14:textId="77777777" w:rsidR="001D3356" w:rsidRPr="00465329" w:rsidRDefault="00000000">
            <w:pPr>
              <w:widowControl w:val="0"/>
              <w:autoSpaceDE w:val="0"/>
              <w:autoSpaceDN w:val="0"/>
              <w:spacing w:before="3" w:line="236" w:lineRule="exact"/>
              <w:ind w:left="101" w:right="71"/>
              <w:jc w:val="center"/>
              <w:rPr>
                <w:sz w:val="22"/>
                <w:szCs w:val="22"/>
              </w:rPr>
            </w:pPr>
            <w:r w:rsidRPr="00465329">
              <w:rPr>
                <w:sz w:val="22"/>
                <w:szCs w:val="22"/>
              </w:rPr>
              <w:t>-</w:t>
            </w:r>
            <w:r w:rsidRPr="00465329">
              <w:rPr>
                <w:spacing w:val="-4"/>
                <w:sz w:val="22"/>
                <w:szCs w:val="22"/>
              </w:rPr>
              <w:t>0.108</w:t>
            </w:r>
          </w:p>
        </w:tc>
        <w:tc>
          <w:tcPr>
            <w:tcW w:w="1048" w:type="dxa"/>
          </w:tcPr>
          <w:p w14:paraId="21F3A1C2" w14:textId="77777777" w:rsidR="001D3356" w:rsidRPr="00465329" w:rsidRDefault="00000000">
            <w:pPr>
              <w:widowControl w:val="0"/>
              <w:autoSpaceDE w:val="0"/>
              <w:autoSpaceDN w:val="0"/>
              <w:spacing w:before="3" w:line="236" w:lineRule="exact"/>
              <w:ind w:left="102" w:right="71"/>
              <w:jc w:val="center"/>
              <w:rPr>
                <w:sz w:val="22"/>
                <w:szCs w:val="22"/>
              </w:rPr>
            </w:pPr>
            <w:r w:rsidRPr="00465329">
              <w:rPr>
                <w:sz w:val="22"/>
                <w:szCs w:val="22"/>
              </w:rPr>
              <w:t>-</w:t>
            </w:r>
            <w:r w:rsidRPr="00465329">
              <w:rPr>
                <w:spacing w:val="-2"/>
                <w:sz w:val="22"/>
                <w:szCs w:val="22"/>
              </w:rPr>
              <w:t>2.139*</w:t>
            </w:r>
          </w:p>
        </w:tc>
        <w:tc>
          <w:tcPr>
            <w:tcW w:w="1595" w:type="dxa"/>
          </w:tcPr>
          <w:p w14:paraId="1A91529D" w14:textId="77777777" w:rsidR="001D3356" w:rsidRPr="00465329" w:rsidRDefault="00000000">
            <w:pPr>
              <w:widowControl w:val="0"/>
              <w:autoSpaceDE w:val="0"/>
              <w:autoSpaceDN w:val="0"/>
              <w:ind w:right="71"/>
              <w:jc w:val="center"/>
              <w:rPr>
                <w:sz w:val="22"/>
                <w:szCs w:val="22"/>
              </w:rPr>
            </w:pPr>
            <w:r w:rsidRPr="00465329">
              <w:rPr>
                <w:spacing w:val="-2"/>
                <w:sz w:val="22"/>
                <w:szCs w:val="22"/>
              </w:rPr>
              <w:t>Conclusion</w:t>
            </w:r>
          </w:p>
        </w:tc>
      </w:tr>
      <w:tr w:rsidR="001D3356" w:rsidRPr="00465329" w14:paraId="3150245A" w14:textId="77777777">
        <w:trPr>
          <w:trHeight w:val="258"/>
        </w:trPr>
        <w:tc>
          <w:tcPr>
            <w:tcW w:w="1449" w:type="dxa"/>
          </w:tcPr>
          <w:p w14:paraId="2FD8B59A"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pacing w:val="-5"/>
                <w:sz w:val="22"/>
                <w:szCs w:val="22"/>
              </w:rPr>
              <w:t>H7</w:t>
            </w:r>
          </w:p>
        </w:tc>
        <w:tc>
          <w:tcPr>
            <w:tcW w:w="3118" w:type="dxa"/>
          </w:tcPr>
          <w:p w14:paraId="27BBA4BF" w14:textId="77777777" w:rsidR="001D3356" w:rsidRPr="00465329" w:rsidRDefault="00000000">
            <w:pPr>
              <w:widowControl w:val="0"/>
              <w:autoSpaceDE w:val="0"/>
              <w:autoSpaceDN w:val="0"/>
              <w:spacing w:before="3" w:line="236" w:lineRule="exact"/>
              <w:ind w:left="100" w:right="71"/>
              <w:jc w:val="center"/>
              <w:rPr>
                <w:sz w:val="22"/>
                <w:szCs w:val="22"/>
              </w:rPr>
            </w:pPr>
            <w:r w:rsidRPr="00465329">
              <w:rPr>
                <w:sz w:val="22"/>
                <w:szCs w:val="22"/>
              </w:rPr>
              <w:t>SBC</w:t>
            </w:r>
            <w:r w:rsidRPr="00465329">
              <w:rPr>
                <w:spacing w:val="8"/>
                <w:sz w:val="22"/>
                <w:szCs w:val="22"/>
              </w:rPr>
              <w:t xml:space="preserve"> </w:t>
            </w:r>
            <w:r w:rsidRPr="00465329">
              <w:rPr>
                <w:sz w:val="22"/>
                <w:szCs w:val="22"/>
              </w:rPr>
              <w:t>→</w:t>
            </w:r>
            <w:r w:rsidRPr="00465329">
              <w:rPr>
                <w:spacing w:val="3"/>
                <w:sz w:val="22"/>
                <w:szCs w:val="22"/>
              </w:rPr>
              <w:t xml:space="preserve"> </w:t>
            </w:r>
            <w:r w:rsidRPr="00465329">
              <w:rPr>
                <w:spacing w:val="-4"/>
                <w:sz w:val="22"/>
                <w:szCs w:val="22"/>
              </w:rPr>
              <w:t>WTPM</w:t>
            </w:r>
          </w:p>
        </w:tc>
        <w:tc>
          <w:tcPr>
            <w:tcW w:w="1429" w:type="dxa"/>
          </w:tcPr>
          <w:p w14:paraId="64ABF805" w14:textId="77777777" w:rsidR="001D3356" w:rsidRPr="00465329" w:rsidRDefault="00000000">
            <w:pPr>
              <w:widowControl w:val="0"/>
              <w:autoSpaceDE w:val="0"/>
              <w:autoSpaceDN w:val="0"/>
              <w:spacing w:before="3" w:line="236" w:lineRule="exact"/>
              <w:ind w:left="101" w:right="71"/>
              <w:jc w:val="center"/>
              <w:rPr>
                <w:sz w:val="22"/>
                <w:szCs w:val="22"/>
              </w:rPr>
            </w:pPr>
            <w:r w:rsidRPr="00465329">
              <w:rPr>
                <w:spacing w:val="-4"/>
                <w:sz w:val="22"/>
                <w:szCs w:val="22"/>
              </w:rPr>
              <w:t>0.399</w:t>
            </w:r>
          </w:p>
        </w:tc>
        <w:tc>
          <w:tcPr>
            <w:tcW w:w="1048" w:type="dxa"/>
          </w:tcPr>
          <w:p w14:paraId="3456C058" w14:textId="77777777" w:rsidR="001D3356" w:rsidRPr="00465329" w:rsidRDefault="00000000">
            <w:pPr>
              <w:widowControl w:val="0"/>
              <w:autoSpaceDE w:val="0"/>
              <w:autoSpaceDN w:val="0"/>
              <w:spacing w:before="3" w:line="236" w:lineRule="exact"/>
              <w:ind w:left="102" w:right="71"/>
              <w:jc w:val="center"/>
              <w:rPr>
                <w:sz w:val="22"/>
                <w:szCs w:val="22"/>
              </w:rPr>
            </w:pPr>
            <w:r w:rsidRPr="00465329">
              <w:rPr>
                <w:spacing w:val="-2"/>
                <w:sz w:val="22"/>
                <w:szCs w:val="22"/>
              </w:rPr>
              <w:t>6.442**</w:t>
            </w:r>
          </w:p>
        </w:tc>
        <w:tc>
          <w:tcPr>
            <w:tcW w:w="1595" w:type="dxa"/>
          </w:tcPr>
          <w:p w14:paraId="7F1DB25A" w14:textId="77777777" w:rsidR="001D3356" w:rsidRPr="00465329" w:rsidRDefault="00000000">
            <w:pPr>
              <w:widowControl w:val="0"/>
              <w:autoSpaceDE w:val="0"/>
              <w:autoSpaceDN w:val="0"/>
              <w:ind w:right="71"/>
              <w:jc w:val="center"/>
              <w:rPr>
                <w:sz w:val="22"/>
                <w:szCs w:val="22"/>
              </w:rPr>
            </w:pPr>
            <w:r w:rsidRPr="00465329">
              <w:rPr>
                <w:spacing w:val="-2"/>
                <w:sz w:val="22"/>
                <w:szCs w:val="22"/>
              </w:rPr>
              <w:t>Conclusion</w:t>
            </w:r>
          </w:p>
        </w:tc>
      </w:tr>
    </w:tbl>
    <w:p w14:paraId="6A8F5BB2" w14:textId="77777777" w:rsidR="001D3356" w:rsidRPr="00465329" w:rsidRDefault="00000000">
      <w:pPr>
        <w:widowControl w:val="0"/>
        <w:autoSpaceDE w:val="0"/>
        <w:autoSpaceDN w:val="0"/>
        <w:ind w:right="71" w:firstLine="212"/>
        <w:rPr>
          <w:i/>
          <w:sz w:val="22"/>
          <w:szCs w:val="22"/>
        </w:rPr>
      </w:pPr>
      <w:r w:rsidRPr="00465329">
        <w:rPr>
          <w:sz w:val="22"/>
          <w:szCs w:val="22"/>
        </w:rPr>
        <w:t>*Note: Significant at *p &lt; 0.05 and *p &lt; 0.001.</w:t>
      </w:r>
    </w:p>
    <w:p w14:paraId="18BDB50D"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(H1 and H2). The results of this study show that Indonesia female consumers who have a strong beauty orientation have an interest in foreign skincare brands and have a strong desire to pay </w:t>
      </w:r>
      <w:r w:rsidRPr="00465329">
        <w:rPr>
          <w:sz w:val="22"/>
          <w:szCs w:val="22"/>
        </w:rPr>
        <w:lastRenderedPageBreak/>
        <w:t xml:space="preserve">more for these brands. This shows that when female consumers have a strong desire to maintain or improve their appearance, they develop strong connections with brands that they trust can help them achieve this and do not hesitate to pay more for those brands. The brand is considered a trusted and appropriate partner to help them feel and look </w:t>
      </w:r>
      <w:proofErr w:type="gramStart"/>
      <w:r w:rsidRPr="00465329">
        <w:rPr>
          <w:sz w:val="22"/>
          <w:szCs w:val="22"/>
        </w:rPr>
        <w:t>good, and</w:t>
      </w:r>
      <w:proofErr w:type="gramEnd"/>
      <w:r w:rsidRPr="00465329">
        <w:rPr>
          <w:sz w:val="22"/>
          <w:szCs w:val="22"/>
        </w:rPr>
        <w:t xml:space="preserve"> inspire consumers to sacrifice more for the beauty they want. Therefore, a reliable and well-valued beauty brand deserves a premium price.</w:t>
      </w:r>
    </w:p>
    <w:p w14:paraId="40D77117"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Our results also show that FBHE strengthens consumer relationships with foreign </w:t>
      </w:r>
      <w:proofErr w:type="gramStart"/>
      <w:r w:rsidRPr="00465329">
        <w:rPr>
          <w:sz w:val="22"/>
          <w:szCs w:val="22"/>
        </w:rPr>
        <w:t>brands</w:t>
      </w:r>
      <w:proofErr w:type="gramEnd"/>
      <w:r w:rsidRPr="00465329">
        <w:rPr>
          <w:sz w:val="22"/>
          <w:szCs w:val="22"/>
        </w:rPr>
        <w:t xml:space="preserve"> and they are willing to pay more for foreign brands, thus supporting H3 and H4. South Korea's positive image in the beauty industry gives an advantage to brands that come from there. FBHE encourages the formation of strong relationships between consumers and brands from countries that are viewed positively. Like BC, FBHE can predict the strength of SBC. However, when compared to BC, FBHE has a much greater influence on SBCs. Consumers who have a positive perception of South Korea as a source of good brands for beauty products are willing to pay more for brands from the country.</w:t>
      </w:r>
    </w:p>
    <w:p w14:paraId="241A5021" w14:textId="77777777" w:rsidR="001D3356" w:rsidRPr="00465329" w:rsidRDefault="00000000">
      <w:pPr>
        <w:widowControl w:val="0"/>
        <w:autoSpaceDE w:val="0"/>
        <w:autoSpaceDN w:val="0"/>
        <w:ind w:right="71" w:firstLine="720"/>
        <w:jc w:val="both"/>
        <w:rPr>
          <w:sz w:val="22"/>
          <w:szCs w:val="22"/>
        </w:rPr>
      </w:pPr>
      <w:r w:rsidRPr="00465329">
        <w:rPr>
          <w:sz w:val="22"/>
          <w:szCs w:val="22"/>
        </w:rPr>
        <w:t>According to H5 and H6, we expect to find significant differences between young and adult consumers in evaluating SBCs with Korea Beauty Brands. Both hypotheses suggest that there is an age-moderating effect on the relationship between BC and FBHE on SBC. However, our results suggest that age does not play a role in the relationship between BC and SBC; therefore, H5 is not supported. It seems that both young adults and adults have a strong BC, which strengthens the consumer's relationship with the brand. From a young age, Indonesia women develop a strong BC and maintain their relationship with brands that are considered capable of maintaining their beauty.</w:t>
      </w:r>
    </w:p>
    <w:p w14:paraId="2080D47D"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Age, however, moderately affects the relationship between FBHE and SBC; therefore, H6 is supported by our results. The older the female consumer, the weaker the FBHE's influence on SBC. These results show that young adult female consumers are more open to brands from countries with a positive image in the beauty industry and show interest in foreign brands. Meanwhile, adult female consumers did not show a strong influence from FBHE on SBCs. Among adult female consumers, SBCs are formed stronger because of a strong BC, not because of the image of the country of origin. Their proximity to foreign brands of beauty products is more due to a strong desire to be beautiful and it is very likely that they are indecisive about the image of the brand's country of origin. For adult female consumers, the image of the country of origin is unwise and cannot strengthen their relationship with foreign brands. </w:t>
      </w:r>
    </w:p>
    <w:p w14:paraId="0964725D" w14:textId="77777777" w:rsidR="001D3356" w:rsidRPr="00465329" w:rsidRDefault="00000000">
      <w:pPr>
        <w:widowControl w:val="0"/>
        <w:autoSpaceDE w:val="0"/>
        <w:autoSpaceDN w:val="0"/>
        <w:ind w:right="71" w:firstLine="720"/>
        <w:jc w:val="both"/>
        <w:rPr>
          <w:sz w:val="22"/>
          <w:szCs w:val="22"/>
        </w:rPr>
      </w:pPr>
      <w:r w:rsidRPr="00465329">
        <w:rPr>
          <w:sz w:val="22"/>
          <w:szCs w:val="22"/>
        </w:rPr>
        <w:t>This result contradicts the findings of Chaplin and John (2005</w:t>
      </w:r>
      <w:proofErr w:type="gramStart"/>
      <w:r w:rsidRPr="00465329">
        <w:rPr>
          <w:sz w:val="22"/>
          <w:szCs w:val="22"/>
        </w:rPr>
        <w:t>).We</w:t>
      </w:r>
      <w:proofErr w:type="gramEnd"/>
      <w:r w:rsidRPr="00465329">
        <w:rPr>
          <w:sz w:val="22"/>
          <w:szCs w:val="22"/>
        </w:rPr>
        <w:t xml:space="preserve"> affirm that the older the consumer, the stronger the consumer's relationship with the brand is in line with the development of the consumer's self-concept and the more the consumer sees the brand as an important part of himself or his community. However, research by Chaplin and John (2005) shows that from a young age, female consumers have shown a strong desire to look beautiful and have a strong sense of community with K-Beauty brands. This difference in results may be explained by the age range of study participants, namely Chaplin and John (2005) focused on children (7–8 years) and adolescents (12–13 years), while this study used young adults and adults as data samples. In these two age groups, it seems that the consumer's self-concept has been well formed.</w:t>
      </w:r>
    </w:p>
    <w:p w14:paraId="6D84210A"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H7 predicts that SBCs encourage consumers to pay more for brands. The results of our last hypothesis test show that SBC reinforces the desire of female consumers to pay more for brands they like, thereby supporting H7. These results are in line with the findings of Sarkar et al. (2021). SBC </w:t>
      </w:r>
      <w:proofErr w:type="gramStart"/>
      <w:r w:rsidRPr="00465329">
        <w:rPr>
          <w:sz w:val="22"/>
          <w:szCs w:val="22"/>
        </w:rPr>
        <w:t>is able to</w:t>
      </w:r>
      <w:proofErr w:type="gramEnd"/>
      <w:r w:rsidRPr="00465329">
        <w:rPr>
          <w:sz w:val="22"/>
          <w:szCs w:val="22"/>
        </w:rPr>
        <w:t xml:space="preserve"> predict consumer loyalty by the willingness of consumers to pay a premium price for brands that are considered suitable and reliable partners.</w:t>
      </w:r>
    </w:p>
    <w:p w14:paraId="00F472E0" w14:textId="77777777" w:rsidR="001D3356" w:rsidRPr="00465329" w:rsidRDefault="00000000">
      <w:pPr>
        <w:widowControl w:val="0"/>
        <w:autoSpaceDE w:val="0"/>
        <w:autoSpaceDN w:val="0"/>
        <w:ind w:right="71"/>
        <w:jc w:val="both"/>
        <w:rPr>
          <w:b/>
          <w:sz w:val="22"/>
          <w:szCs w:val="22"/>
        </w:rPr>
      </w:pPr>
      <w:r w:rsidRPr="00465329">
        <w:rPr>
          <w:b/>
          <w:sz w:val="22"/>
          <w:szCs w:val="22"/>
        </w:rPr>
        <w:t>Theoretical Implications</w:t>
      </w:r>
    </w:p>
    <w:p w14:paraId="3CE7A0C4"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The study contributes to marketing literature, such as consumer-brand relations and international marketing, in a variety of ways. First, the consumer-brand relationship shows that the consumer's connection with the brand can be driven by the consumer's lifestyle and values. Beauty consumption encompasses the lifestyle of female consumers that involves their daily tasks and goals. A brand is an important source or tool for female consumers when building their own lifestyle and identity. A brand is also a reflection of what is important to individual consumers and </w:t>
      </w:r>
      <w:r w:rsidRPr="00465329">
        <w:rPr>
          <w:sz w:val="22"/>
          <w:szCs w:val="22"/>
        </w:rPr>
        <w:lastRenderedPageBreak/>
        <w:t xml:space="preserve">is valued together in its community (Sihvonen, 2019). A brand can become a consumer partner when it </w:t>
      </w:r>
      <w:proofErr w:type="gramStart"/>
      <w:r w:rsidRPr="00465329">
        <w:rPr>
          <w:sz w:val="22"/>
          <w:szCs w:val="22"/>
        </w:rPr>
        <w:t>is considered to be</w:t>
      </w:r>
      <w:proofErr w:type="gramEnd"/>
      <w:r w:rsidRPr="00465329">
        <w:rPr>
          <w:sz w:val="22"/>
          <w:szCs w:val="22"/>
        </w:rPr>
        <w:t xml:space="preserve"> in line with the interests of consumers and shared values in its community. In addition, the study provides further explanation that brands that satisfy the psychological needs of individual consumers (feel good as beautiful women), strengthen their identity, and improve their image (look good as beautiful women) can form strong connections with their consumers.</w:t>
      </w:r>
    </w:p>
    <w:p w14:paraId="1D0F4B2F" w14:textId="77777777" w:rsidR="001D3356" w:rsidRPr="00465329" w:rsidRDefault="00000000">
      <w:pPr>
        <w:widowControl w:val="0"/>
        <w:autoSpaceDE w:val="0"/>
        <w:autoSpaceDN w:val="0"/>
        <w:ind w:right="71" w:firstLine="720"/>
        <w:jc w:val="both"/>
        <w:rPr>
          <w:sz w:val="22"/>
          <w:szCs w:val="22"/>
        </w:rPr>
      </w:pPr>
      <w:r w:rsidRPr="00465329">
        <w:rPr>
          <w:sz w:val="22"/>
          <w:szCs w:val="22"/>
        </w:rPr>
        <w:t>Second, this study shows that KMR can be strengthened by a positive image of brand origin. This is illustrated by the greater impact of FBHE on KMR compared to BC. A country's positive image enriches the relationship between consumers and brands. This is especially strong among young adult female consumers. These results also contribute to the international marketing literature. Steenkamp (2019) argues that young consumers have a more favorable view of foreign brands. Age shows a strong effect on consumer attitudes towards global consumer culture, thus affecting consumers' openness to foreign brands. Young consumers tend to be xenocentric and like to look for things that are new, modern, untied to the past and tradition, and adventurous. Therefore, the study suggests that young consumers have stronger connections with foreign brands. They are open and develop a strong affinity for foreign brands. Meanwhile, adult consumers show lower KMR against foreign brands. This suggests that for older consumers, foreign brands may not be the best choice as partners. Adult consumers are attached to foreign beauty brands more because of the perception of the brand's ability to help them stay beautiful and not because of a positive image from their home country.</w:t>
      </w:r>
    </w:p>
    <w:p w14:paraId="6EC4100E" w14:textId="77777777" w:rsidR="001D3356" w:rsidRPr="00465329" w:rsidRDefault="00000000">
      <w:pPr>
        <w:widowControl w:val="0"/>
        <w:autoSpaceDE w:val="0"/>
        <w:autoSpaceDN w:val="0"/>
        <w:ind w:right="71" w:firstLine="720"/>
        <w:jc w:val="both"/>
        <w:rPr>
          <w:sz w:val="22"/>
          <w:szCs w:val="22"/>
        </w:rPr>
      </w:pPr>
      <w:r w:rsidRPr="00465329">
        <w:rPr>
          <w:sz w:val="22"/>
          <w:szCs w:val="22"/>
        </w:rPr>
        <w:t>Furthermore, a strong KMR reflects consumer loyalty to the brand, and strong connections and consumer unity encourage them to pay higher prices for certain brands even though other brands (e.g., local brands) in the same product category are available in the market. Our study reveals that WTPM is confirmed not only by KMR, but also by BC and FBHE. However, among the three, FBHE has the most powerful influence. Female consumers have a strong desire to pay more for a brand depending on the image of the country of origin and its reputation as a manufacturer of a particular product (Gómez et al., 2017). The results of this study show that for Indonesia's female consumers, a strong positive image of their home country encourages their desire to pay more for beauty product brands from the region. This shows that brands that come from countries with a good reputation in the beauty industry can stimulate consumers' desire to pay more. This is a brand advantage that comes from more developed countries.</w:t>
      </w:r>
    </w:p>
    <w:p w14:paraId="72A8DBF3" w14:textId="77777777" w:rsidR="001D3356" w:rsidRPr="00465329" w:rsidRDefault="00000000">
      <w:pPr>
        <w:widowControl w:val="0"/>
        <w:autoSpaceDE w:val="0"/>
        <w:autoSpaceDN w:val="0"/>
        <w:ind w:right="71"/>
        <w:jc w:val="both"/>
        <w:rPr>
          <w:b/>
          <w:sz w:val="22"/>
          <w:szCs w:val="22"/>
        </w:rPr>
      </w:pPr>
      <w:r w:rsidRPr="00465329">
        <w:rPr>
          <w:b/>
          <w:sz w:val="22"/>
          <w:szCs w:val="22"/>
        </w:rPr>
        <w:t>Implikasi</w:t>
      </w:r>
      <w:r w:rsidRPr="00465329">
        <w:rPr>
          <w:b/>
          <w:spacing w:val="18"/>
          <w:sz w:val="22"/>
          <w:szCs w:val="22"/>
        </w:rPr>
        <w:t xml:space="preserve"> </w:t>
      </w:r>
      <w:r w:rsidRPr="00465329">
        <w:rPr>
          <w:b/>
          <w:spacing w:val="-2"/>
          <w:sz w:val="22"/>
          <w:szCs w:val="22"/>
        </w:rPr>
        <w:t>Manajerial</w:t>
      </w:r>
    </w:p>
    <w:p w14:paraId="530AE4A6"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As this study suggests, KMR motivates consumers' intention to pay a higher price. KMR energizes greater consumer engagement with a brand. Therefore, managers should expand their knowledge of KMR drivers. Regardless of the age of the consumer, when a brand is considered the best partner in the pursuit of beauty, the consumer develops a strong bond with the brand. We recommend that managers explore the values and lifestyles of consumers who nurture their bond with the brand. In advertising, managers should emphasize the advantages of their products for consumer beauty. </w:t>
      </w:r>
    </w:p>
    <w:p w14:paraId="63F29962" w14:textId="77777777" w:rsidR="001D3356" w:rsidRPr="00465329" w:rsidRDefault="00000000">
      <w:pPr>
        <w:widowControl w:val="0"/>
        <w:autoSpaceDE w:val="0"/>
        <w:autoSpaceDN w:val="0"/>
        <w:ind w:right="71" w:firstLine="720"/>
        <w:jc w:val="both"/>
        <w:rPr>
          <w:sz w:val="22"/>
          <w:szCs w:val="22"/>
        </w:rPr>
      </w:pPr>
      <w:r w:rsidRPr="00465329">
        <w:rPr>
          <w:sz w:val="22"/>
          <w:szCs w:val="22"/>
        </w:rPr>
        <w:t xml:space="preserve">Our study also suggests that age has different moderate effects on the relationship between FBHE and KMR. We believe that managers should consider these results when shaping their segmentation, targeting, and placement strategies. The emphasis </w:t>
      </w:r>
      <w:proofErr w:type="gramStart"/>
      <w:r w:rsidRPr="00465329">
        <w:rPr>
          <w:sz w:val="22"/>
          <w:szCs w:val="22"/>
        </w:rPr>
        <w:t>in</w:t>
      </w:r>
      <w:proofErr w:type="gramEnd"/>
      <w:r w:rsidRPr="00465329">
        <w:rPr>
          <w:sz w:val="22"/>
          <w:szCs w:val="22"/>
        </w:rPr>
        <w:t xml:space="preserve"> advertising needs to be adjusted according to the age of the consumer. For younger consumers, the emphasis on advancements in the beauty industry from the brand's home country compared to their home country will prove advantageous. Meanwhile, for more mature consumers, ads should emphasize the brand's benefits for their beauty and adaptation to local culture, such as using local brand names, can also be an option. </w:t>
      </w:r>
    </w:p>
    <w:p w14:paraId="6CF31FB6" w14:textId="77777777" w:rsidR="001D3356" w:rsidRDefault="00000000">
      <w:pPr>
        <w:numPr>
          <w:ilvl w:val="0"/>
          <w:numId w:val="4"/>
        </w:numPr>
        <w:tabs>
          <w:tab w:val="left" w:pos="426"/>
        </w:tabs>
        <w:spacing w:before="240" w:line="276" w:lineRule="auto"/>
        <w:ind w:left="426" w:hanging="426"/>
        <w:rPr>
          <w:b/>
          <w:bCs/>
          <w:sz w:val="22"/>
          <w:szCs w:val="22"/>
          <w:lang w:val="id-ID"/>
        </w:rPr>
      </w:pPr>
      <w:r>
        <w:rPr>
          <w:b/>
          <w:bCs/>
          <w:sz w:val="22"/>
          <w:szCs w:val="22"/>
        </w:rPr>
        <w:t>CONCLUSION</w:t>
      </w:r>
    </w:p>
    <w:p w14:paraId="46148486" w14:textId="77777777" w:rsidR="001D3356" w:rsidRDefault="00000000">
      <w:pPr>
        <w:ind w:right="71" w:firstLine="720"/>
        <w:jc w:val="both"/>
        <w:rPr>
          <w:sz w:val="22"/>
          <w:szCs w:val="22"/>
        </w:rPr>
      </w:pPr>
      <w:r>
        <w:rPr>
          <w:sz w:val="22"/>
          <w:szCs w:val="22"/>
        </w:rPr>
        <w:t xml:space="preserve">The results show that the model used has a high fit based on various statistical indicators such as AGFI, CFI, TLI, RMSEA, and NFI, all of which are within acceptable limits. In addition, </w:t>
      </w:r>
      <w:r>
        <w:rPr>
          <w:sz w:val="22"/>
          <w:szCs w:val="22"/>
        </w:rPr>
        <w:lastRenderedPageBreak/>
        <w:t>the ratio of chi square to degree of freedom as well as GFI, AGFI, and RMSEA values support a good model fit. CFI, TLI, and NFI also showed strong incremental match. This study revealed that age moderated the relationship between the foreign brand halo effect (EFMA) and self-brand connection (KMD), but did not moderate the relationship between beauty orientation (OK) and KMD. Indonesia's female consumers who have a strong beauty orientation tend to be more attracted to foreign skincare brands and are willing to pay more for such brands, with a significant influence of age on the effect of EFMA on KMD.</w:t>
      </w:r>
    </w:p>
    <w:p w14:paraId="1C2CE8D1" w14:textId="77777777" w:rsidR="001D3356" w:rsidRDefault="00000000">
      <w:pPr>
        <w:pStyle w:val="BodyText"/>
        <w:spacing w:line="276" w:lineRule="auto"/>
        <w:ind w:right="85" w:firstLine="567"/>
        <w:jc w:val="both"/>
        <w:rPr>
          <w:rStyle w:val="apple-style-span"/>
          <w:color w:val="000000"/>
          <w:sz w:val="22"/>
          <w:szCs w:val="22"/>
        </w:rPr>
      </w:pPr>
      <w:r>
        <w:rPr>
          <w:sz w:val="22"/>
          <w:szCs w:val="22"/>
          <w:lang w:eastAsia="en-US"/>
        </w:rPr>
        <w:t>Overall, the study reinforces understanding of how Indonesia's female consumers develop strong connections with foreign beauty brands, and how factors such as age and brand image of the brand's country of origin influence their decision to pay more. These findings have important implications for marketing strategies and brand development, especially in the context of international marketing.</w:t>
      </w:r>
      <w:r>
        <w:rPr>
          <w:rStyle w:val="mceitemhidden"/>
          <w:color w:val="000000"/>
          <w:sz w:val="22"/>
          <w:szCs w:val="22"/>
        </w:rPr>
        <w:t xml:space="preserve"> </w:t>
      </w:r>
    </w:p>
    <w:p w14:paraId="01EC4F21" w14:textId="77777777" w:rsidR="001D3356" w:rsidRDefault="00000000">
      <w:pPr>
        <w:pStyle w:val="ListParagraph"/>
        <w:numPr>
          <w:ilvl w:val="0"/>
          <w:numId w:val="4"/>
        </w:numPr>
        <w:spacing w:after="0"/>
        <w:ind w:left="426" w:hanging="426"/>
        <w:rPr>
          <w:rFonts w:ascii="Times New Roman" w:hAnsi="Times New Roman"/>
          <w:color w:val="000000"/>
          <w:lang w:val="pt-BR"/>
        </w:rPr>
      </w:pPr>
      <w:r>
        <w:rPr>
          <w:rStyle w:val="apple-style-span"/>
          <w:rFonts w:ascii="Times New Roman" w:hAnsi="Times New Roman"/>
          <w:b/>
          <w:color w:val="000000"/>
          <w:lang w:val="pt-BR"/>
        </w:rPr>
        <w:t>REFERENCES</w:t>
      </w:r>
    </w:p>
    <w:p w14:paraId="61A4571D"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Assawavichairoj S. &amp; Taghian M. (2017). Cross-cultural comparison of consumer pre-</w:t>
      </w:r>
      <w:r w:rsidRPr="00465329">
        <w:rPr>
          <w:color w:val="181616"/>
          <w:spacing w:val="80"/>
          <w:sz w:val="22"/>
          <w:szCs w:val="22"/>
        </w:rPr>
        <w:t xml:space="preserve"> </w:t>
      </w:r>
      <w:r w:rsidRPr="00465329">
        <w:rPr>
          <w:color w:val="181616"/>
          <w:sz w:val="22"/>
          <w:szCs w:val="22"/>
        </w:rPr>
        <w:t xml:space="preserve">purchase decision-making: anti-aging products. Asia Pacific J Marketing Logistics, </w:t>
      </w:r>
      <w:r w:rsidRPr="00465329">
        <w:rPr>
          <w:color w:val="181616"/>
          <w:spacing w:val="-2"/>
          <w:sz w:val="22"/>
          <w:szCs w:val="22"/>
        </w:rPr>
        <w:t>29(1):27-46.</w:t>
      </w:r>
    </w:p>
    <w:p w14:paraId="78AEE13B"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Ahmad, S. N. B. &amp; Omar, A. (2018). Factors Driving female Consumers intention to purchase natural</w:t>
      </w:r>
      <w:r w:rsidRPr="00465329">
        <w:rPr>
          <w:color w:val="181616"/>
          <w:spacing w:val="40"/>
          <w:sz w:val="22"/>
          <w:szCs w:val="22"/>
        </w:rPr>
        <w:t xml:space="preserve"> </w:t>
      </w:r>
      <w:r w:rsidRPr="00465329">
        <w:rPr>
          <w:color w:val="181616"/>
          <w:sz w:val="22"/>
          <w:szCs w:val="22"/>
        </w:rPr>
        <w:t>beauty</w:t>
      </w:r>
      <w:r w:rsidRPr="00465329">
        <w:rPr>
          <w:color w:val="181616"/>
          <w:spacing w:val="40"/>
          <w:sz w:val="22"/>
          <w:szCs w:val="22"/>
        </w:rPr>
        <w:t xml:space="preserve"> </w:t>
      </w:r>
      <w:r w:rsidRPr="00465329">
        <w:rPr>
          <w:color w:val="181616"/>
          <w:sz w:val="22"/>
          <w:szCs w:val="22"/>
        </w:rPr>
        <w:t>products,</w:t>
      </w:r>
      <w:r w:rsidRPr="00465329">
        <w:rPr>
          <w:color w:val="181616"/>
          <w:spacing w:val="40"/>
          <w:sz w:val="22"/>
          <w:szCs w:val="22"/>
        </w:rPr>
        <w:t xml:space="preserve"> </w:t>
      </w:r>
      <w:r w:rsidRPr="00465329">
        <w:rPr>
          <w:color w:val="181616"/>
          <w:sz w:val="22"/>
          <w:szCs w:val="22"/>
        </w:rPr>
        <w:t>International</w:t>
      </w:r>
      <w:r w:rsidRPr="00465329">
        <w:rPr>
          <w:color w:val="181616"/>
          <w:spacing w:val="40"/>
          <w:sz w:val="22"/>
          <w:szCs w:val="22"/>
        </w:rPr>
        <w:t xml:space="preserve"> </w:t>
      </w:r>
      <w:r w:rsidRPr="00465329">
        <w:rPr>
          <w:color w:val="181616"/>
          <w:sz w:val="22"/>
          <w:szCs w:val="22"/>
        </w:rPr>
        <w:t>Journal</w:t>
      </w:r>
      <w:r w:rsidRPr="00465329">
        <w:rPr>
          <w:color w:val="181616"/>
          <w:spacing w:val="40"/>
          <w:sz w:val="22"/>
          <w:szCs w:val="22"/>
        </w:rPr>
        <w:t xml:space="preserve"> </w:t>
      </w:r>
      <w:r w:rsidRPr="00465329">
        <w:rPr>
          <w:color w:val="181616"/>
          <w:sz w:val="22"/>
          <w:szCs w:val="22"/>
        </w:rPr>
        <w:t>of Accounting,</w:t>
      </w:r>
      <w:r w:rsidRPr="00465329">
        <w:rPr>
          <w:color w:val="181616"/>
          <w:spacing w:val="40"/>
          <w:sz w:val="22"/>
          <w:szCs w:val="22"/>
        </w:rPr>
        <w:t xml:space="preserve"> </w:t>
      </w:r>
      <w:r w:rsidRPr="00465329">
        <w:rPr>
          <w:color w:val="181616"/>
          <w:sz w:val="22"/>
          <w:szCs w:val="22"/>
        </w:rPr>
        <w:t>Finance</w:t>
      </w:r>
      <w:r w:rsidRPr="00465329">
        <w:rPr>
          <w:color w:val="181616"/>
          <w:spacing w:val="40"/>
          <w:sz w:val="22"/>
          <w:szCs w:val="22"/>
        </w:rPr>
        <w:t xml:space="preserve"> </w:t>
      </w:r>
      <w:r w:rsidRPr="00465329">
        <w:rPr>
          <w:color w:val="181616"/>
          <w:sz w:val="22"/>
          <w:szCs w:val="22"/>
        </w:rPr>
        <w:t>and</w:t>
      </w:r>
      <w:r w:rsidRPr="00465329">
        <w:rPr>
          <w:color w:val="181616"/>
          <w:spacing w:val="40"/>
          <w:sz w:val="22"/>
          <w:szCs w:val="22"/>
        </w:rPr>
        <w:t xml:space="preserve"> </w:t>
      </w:r>
      <w:r w:rsidRPr="00465329">
        <w:rPr>
          <w:color w:val="181616"/>
          <w:sz w:val="22"/>
          <w:szCs w:val="22"/>
        </w:rPr>
        <w:t>Business,</w:t>
      </w:r>
      <w:r w:rsidRPr="00465329">
        <w:rPr>
          <w:color w:val="181616"/>
          <w:spacing w:val="40"/>
          <w:sz w:val="22"/>
          <w:szCs w:val="22"/>
        </w:rPr>
        <w:t xml:space="preserve"> </w:t>
      </w:r>
      <w:r w:rsidRPr="00465329">
        <w:rPr>
          <w:color w:val="181616"/>
          <w:sz w:val="22"/>
          <w:szCs w:val="22"/>
        </w:rPr>
        <w:t>3 (11), 72-81.</w:t>
      </w:r>
    </w:p>
    <w:p w14:paraId="68038247"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Ahmad, S.N.B, Omar, A.B. &amp; Rose, R.B, (2015) Influence of Personal Values on Generation Z’s</w:t>
      </w:r>
      <w:r w:rsidRPr="00465329">
        <w:rPr>
          <w:color w:val="181616"/>
          <w:spacing w:val="40"/>
          <w:sz w:val="22"/>
          <w:szCs w:val="22"/>
        </w:rPr>
        <w:t xml:space="preserve"> </w:t>
      </w:r>
      <w:r w:rsidRPr="00465329">
        <w:rPr>
          <w:color w:val="181616"/>
          <w:sz w:val="22"/>
          <w:szCs w:val="22"/>
        </w:rPr>
        <w:t>Purchase</w:t>
      </w:r>
      <w:r w:rsidRPr="00465329">
        <w:rPr>
          <w:color w:val="181616"/>
          <w:spacing w:val="40"/>
          <w:sz w:val="22"/>
          <w:szCs w:val="22"/>
        </w:rPr>
        <w:t xml:space="preserve"> </w:t>
      </w:r>
      <w:r w:rsidRPr="00465329">
        <w:rPr>
          <w:color w:val="181616"/>
          <w:sz w:val="22"/>
          <w:szCs w:val="22"/>
        </w:rPr>
        <w:t>Intention</w:t>
      </w:r>
      <w:r w:rsidRPr="00465329">
        <w:rPr>
          <w:color w:val="181616"/>
          <w:spacing w:val="40"/>
          <w:sz w:val="22"/>
          <w:szCs w:val="22"/>
        </w:rPr>
        <w:t xml:space="preserve"> </w:t>
      </w:r>
      <w:r w:rsidRPr="00465329">
        <w:rPr>
          <w:color w:val="181616"/>
          <w:sz w:val="22"/>
          <w:szCs w:val="22"/>
        </w:rPr>
        <w:t>for</w:t>
      </w:r>
      <w:r w:rsidRPr="00465329">
        <w:rPr>
          <w:color w:val="181616"/>
          <w:spacing w:val="40"/>
          <w:sz w:val="22"/>
          <w:szCs w:val="22"/>
        </w:rPr>
        <w:t xml:space="preserve"> </w:t>
      </w:r>
      <w:r w:rsidRPr="00465329">
        <w:rPr>
          <w:color w:val="181616"/>
          <w:sz w:val="22"/>
          <w:szCs w:val="22"/>
        </w:rPr>
        <w:t>Natural</w:t>
      </w:r>
      <w:r w:rsidRPr="00465329">
        <w:rPr>
          <w:color w:val="181616"/>
          <w:spacing w:val="40"/>
          <w:sz w:val="22"/>
          <w:szCs w:val="22"/>
        </w:rPr>
        <w:t xml:space="preserve"> </w:t>
      </w:r>
      <w:r w:rsidRPr="00465329">
        <w:rPr>
          <w:color w:val="181616"/>
          <w:sz w:val="22"/>
          <w:szCs w:val="22"/>
        </w:rPr>
        <w:t>Beauty</w:t>
      </w:r>
      <w:r w:rsidRPr="00465329">
        <w:rPr>
          <w:color w:val="181616"/>
          <w:spacing w:val="40"/>
          <w:sz w:val="22"/>
          <w:szCs w:val="22"/>
        </w:rPr>
        <w:t xml:space="preserve"> </w:t>
      </w:r>
      <w:r w:rsidRPr="00465329">
        <w:rPr>
          <w:color w:val="181616"/>
          <w:sz w:val="22"/>
          <w:szCs w:val="22"/>
        </w:rPr>
        <w:t>Products, Advance</w:t>
      </w:r>
      <w:r w:rsidRPr="00465329">
        <w:rPr>
          <w:color w:val="181616"/>
          <w:spacing w:val="40"/>
          <w:sz w:val="22"/>
          <w:szCs w:val="22"/>
        </w:rPr>
        <w:t xml:space="preserve"> </w:t>
      </w:r>
      <w:r w:rsidRPr="00465329">
        <w:rPr>
          <w:color w:val="181616"/>
          <w:sz w:val="22"/>
          <w:szCs w:val="22"/>
        </w:rPr>
        <w:t>in</w:t>
      </w:r>
      <w:r w:rsidRPr="00465329">
        <w:rPr>
          <w:color w:val="181616"/>
          <w:spacing w:val="40"/>
          <w:sz w:val="22"/>
          <w:szCs w:val="22"/>
        </w:rPr>
        <w:t xml:space="preserve"> </w:t>
      </w:r>
      <w:r w:rsidRPr="00465329">
        <w:rPr>
          <w:color w:val="181616"/>
          <w:sz w:val="22"/>
          <w:szCs w:val="22"/>
        </w:rPr>
        <w:t>Global</w:t>
      </w:r>
      <w:r w:rsidRPr="00465329">
        <w:rPr>
          <w:color w:val="181616"/>
          <w:spacing w:val="40"/>
          <w:sz w:val="22"/>
          <w:szCs w:val="22"/>
        </w:rPr>
        <w:t xml:space="preserve"> </w:t>
      </w:r>
      <w:r w:rsidRPr="00465329">
        <w:rPr>
          <w:color w:val="181616"/>
          <w:sz w:val="22"/>
          <w:szCs w:val="22"/>
        </w:rPr>
        <w:t>Business Research, 12 (1), 436-446</w:t>
      </w:r>
    </w:p>
    <w:p w14:paraId="69A9C2B8"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Alserhan, B.A., Halkias, D., Boulanouar, A.W., Dayan, M., &amp; Alserhan, O.A. (2015). Expressing herself through brands: the Arab woman’s perspective, Journal of Research in Marketing and Entrepreneurship, 17 (1), 36 - 53</w:t>
      </w:r>
    </w:p>
    <w:p w14:paraId="30A00062"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An, J., Do, D.K.X., Ngo, L.V. &amp; Quan, T.H.M. (2019). Turning brand credibility into positive word-of-mouth:</w:t>
      </w:r>
      <w:r w:rsidRPr="00465329">
        <w:rPr>
          <w:color w:val="181616"/>
          <w:spacing w:val="40"/>
          <w:sz w:val="22"/>
          <w:szCs w:val="22"/>
        </w:rPr>
        <w:t xml:space="preserve"> </w:t>
      </w:r>
      <w:r w:rsidRPr="00465329">
        <w:rPr>
          <w:color w:val="181616"/>
          <w:sz w:val="22"/>
          <w:szCs w:val="22"/>
        </w:rPr>
        <w:t>integrating</w:t>
      </w:r>
      <w:r w:rsidRPr="00465329">
        <w:rPr>
          <w:color w:val="181616"/>
          <w:spacing w:val="40"/>
          <w:sz w:val="22"/>
          <w:szCs w:val="22"/>
        </w:rPr>
        <w:t xml:space="preserve"> </w:t>
      </w:r>
      <w:r w:rsidRPr="00465329">
        <w:rPr>
          <w:color w:val="181616"/>
          <w:sz w:val="22"/>
          <w:szCs w:val="22"/>
        </w:rPr>
        <w:t>the</w:t>
      </w:r>
      <w:r w:rsidRPr="00465329">
        <w:rPr>
          <w:color w:val="181616"/>
          <w:spacing w:val="40"/>
          <w:sz w:val="22"/>
          <w:szCs w:val="22"/>
        </w:rPr>
        <w:t xml:space="preserve"> </w:t>
      </w:r>
      <w:r w:rsidRPr="00465329">
        <w:rPr>
          <w:color w:val="181616"/>
          <w:sz w:val="22"/>
          <w:szCs w:val="22"/>
        </w:rPr>
        <w:t>signaling</w:t>
      </w:r>
      <w:r w:rsidRPr="00465329">
        <w:rPr>
          <w:color w:val="181616"/>
          <w:spacing w:val="40"/>
          <w:sz w:val="22"/>
          <w:szCs w:val="22"/>
        </w:rPr>
        <w:t xml:space="preserve"> </w:t>
      </w:r>
      <w:r w:rsidRPr="00465329">
        <w:rPr>
          <w:color w:val="181616"/>
          <w:sz w:val="22"/>
          <w:szCs w:val="22"/>
        </w:rPr>
        <w:t>and</w:t>
      </w:r>
      <w:r w:rsidRPr="00465329">
        <w:rPr>
          <w:color w:val="181616"/>
          <w:spacing w:val="40"/>
          <w:sz w:val="22"/>
          <w:szCs w:val="22"/>
        </w:rPr>
        <w:t xml:space="preserve"> </w:t>
      </w:r>
      <w:r w:rsidRPr="00465329">
        <w:rPr>
          <w:color w:val="181616"/>
          <w:sz w:val="22"/>
          <w:szCs w:val="22"/>
        </w:rPr>
        <w:t>social</w:t>
      </w:r>
      <w:r w:rsidRPr="00465329">
        <w:rPr>
          <w:color w:val="181616"/>
          <w:spacing w:val="40"/>
          <w:sz w:val="22"/>
          <w:szCs w:val="22"/>
        </w:rPr>
        <w:t xml:space="preserve"> </w:t>
      </w:r>
      <w:r w:rsidRPr="00465329">
        <w:rPr>
          <w:color w:val="181616"/>
          <w:sz w:val="22"/>
          <w:szCs w:val="22"/>
        </w:rPr>
        <w:t>identity</w:t>
      </w:r>
      <w:r w:rsidRPr="00465329">
        <w:rPr>
          <w:color w:val="181616"/>
          <w:spacing w:val="40"/>
          <w:sz w:val="22"/>
          <w:szCs w:val="22"/>
        </w:rPr>
        <w:t xml:space="preserve"> </w:t>
      </w:r>
      <w:r w:rsidRPr="00465329">
        <w:rPr>
          <w:color w:val="181616"/>
          <w:sz w:val="22"/>
          <w:szCs w:val="22"/>
        </w:rPr>
        <w:t>perspectives,</w:t>
      </w:r>
      <w:r w:rsidRPr="00465329">
        <w:rPr>
          <w:color w:val="181616"/>
          <w:spacing w:val="40"/>
          <w:sz w:val="22"/>
          <w:szCs w:val="22"/>
        </w:rPr>
        <w:t xml:space="preserve"> </w:t>
      </w:r>
      <w:r w:rsidRPr="00465329">
        <w:rPr>
          <w:color w:val="181616"/>
          <w:sz w:val="22"/>
          <w:szCs w:val="22"/>
        </w:rPr>
        <w:t>Journal</w:t>
      </w:r>
      <w:r w:rsidRPr="00465329">
        <w:rPr>
          <w:color w:val="181616"/>
          <w:spacing w:val="40"/>
          <w:sz w:val="22"/>
          <w:szCs w:val="22"/>
        </w:rPr>
        <w:t xml:space="preserve"> </w:t>
      </w:r>
      <w:r w:rsidRPr="00465329">
        <w:rPr>
          <w:color w:val="181616"/>
          <w:sz w:val="22"/>
          <w:szCs w:val="22"/>
        </w:rPr>
        <w:t>of Brand Management, 26:157–175</w:t>
      </w:r>
    </w:p>
    <w:p w14:paraId="053B8CE4"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Barak,</w:t>
      </w:r>
      <w:r w:rsidRPr="00465329">
        <w:rPr>
          <w:color w:val="181616"/>
          <w:spacing w:val="40"/>
          <w:sz w:val="22"/>
          <w:szCs w:val="22"/>
        </w:rPr>
        <w:t xml:space="preserve"> </w:t>
      </w:r>
      <w:r w:rsidRPr="00465329">
        <w:rPr>
          <w:color w:val="181616"/>
          <w:sz w:val="22"/>
          <w:szCs w:val="22"/>
        </w:rPr>
        <w:t>B.,</w:t>
      </w:r>
      <w:r w:rsidRPr="00465329">
        <w:rPr>
          <w:color w:val="181616"/>
          <w:spacing w:val="40"/>
          <w:sz w:val="22"/>
          <w:szCs w:val="22"/>
        </w:rPr>
        <w:t xml:space="preserve"> </w:t>
      </w:r>
      <w:r w:rsidRPr="00465329">
        <w:rPr>
          <w:color w:val="181616"/>
          <w:sz w:val="22"/>
          <w:szCs w:val="22"/>
        </w:rPr>
        <w:t>&amp;</w:t>
      </w:r>
      <w:r w:rsidRPr="00465329">
        <w:rPr>
          <w:color w:val="181616"/>
          <w:spacing w:val="40"/>
          <w:sz w:val="22"/>
          <w:szCs w:val="22"/>
        </w:rPr>
        <w:t xml:space="preserve"> </w:t>
      </w:r>
      <w:r w:rsidRPr="00465329">
        <w:rPr>
          <w:color w:val="181616"/>
          <w:sz w:val="22"/>
          <w:szCs w:val="22"/>
        </w:rPr>
        <w:t>Stern,</w:t>
      </w:r>
      <w:r w:rsidRPr="00465329">
        <w:rPr>
          <w:color w:val="181616"/>
          <w:spacing w:val="40"/>
          <w:sz w:val="22"/>
          <w:szCs w:val="22"/>
        </w:rPr>
        <w:t xml:space="preserve"> </w:t>
      </w:r>
      <w:r w:rsidRPr="00465329">
        <w:rPr>
          <w:color w:val="181616"/>
          <w:sz w:val="22"/>
          <w:szCs w:val="22"/>
        </w:rPr>
        <w:t>B.</w:t>
      </w:r>
      <w:r w:rsidRPr="00465329">
        <w:rPr>
          <w:color w:val="181616"/>
          <w:spacing w:val="40"/>
          <w:sz w:val="22"/>
          <w:szCs w:val="22"/>
        </w:rPr>
        <w:t xml:space="preserve"> </w:t>
      </w:r>
      <w:r w:rsidRPr="00465329">
        <w:rPr>
          <w:color w:val="181616"/>
          <w:sz w:val="22"/>
          <w:szCs w:val="22"/>
        </w:rPr>
        <w:t>(1985).</w:t>
      </w:r>
      <w:r w:rsidRPr="00465329">
        <w:rPr>
          <w:color w:val="181616"/>
          <w:spacing w:val="40"/>
          <w:sz w:val="22"/>
          <w:szCs w:val="22"/>
        </w:rPr>
        <w:t xml:space="preserve"> </w:t>
      </w:r>
      <w:r w:rsidRPr="00465329">
        <w:rPr>
          <w:color w:val="181616"/>
          <w:sz w:val="22"/>
          <w:szCs w:val="22"/>
        </w:rPr>
        <w:t>Fantastic</w:t>
      </w:r>
      <w:r w:rsidRPr="00465329">
        <w:rPr>
          <w:color w:val="181616"/>
          <w:spacing w:val="40"/>
          <w:sz w:val="22"/>
          <w:szCs w:val="22"/>
        </w:rPr>
        <w:t xml:space="preserve"> </w:t>
      </w:r>
      <w:r w:rsidRPr="00465329">
        <w:rPr>
          <w:color w:val="181616"/>
          <w:sz w:val="22"/>
          <w:szCs w:val="22"/>
        </w:rPr>
        <w:t>at</w:t>
      </w:r>
      <w:r w:rsidRPr="00465329">
        <w:rPr>
          <w:color w:val="181616"/>
          <w:spacing w:val="40"/>
          <w:sz w:val="22"/>
          <w:szCs w:val="22"/>
        </w:rPr>
        <w:t xml:space="preserve"> </w:t>
      </w:r>
      <w:r w:rsidRPr="00465329">
        <w:rPr>
          <w:color w:val="181616"/>
          <w:sz w:val="22"/>
          <w:szCs w:val="22"/>
        </w:rPr>
        <w:t>Forty!</w:t>
      </w:r>
      <w:r w:rsidRPr="00465329">
        <w:rPr>
          <w:color w:val="181616"/>
          <w:spacing w:val="40"/>
          <w:sz w:val="22"/>
          <w:szCs w:val="22"/>
        </w:rPr>
        <w:t xml:space="preserve"> </w:t>
      </w:r>
      <w:r w:rsidRPr="00465329">
        <w:rPr>
          <w:color w:val="181616"/>
          <w:sz w:val="22"/>
          <w:szCs w:val="22"/>
        </w:rPr>
        <w:t>The</w:t>
      </w:r>
      <w:r w:rsidRPr="00465329">
        <w:rPr>
          <w:color w:val="181616"/>
          <w:spacing w:val="40"/>
          <w:sz w:val="22"/>
          <w:szCs w:val="22"/>
        </w:rPr>
        <w:t xml:space="preserve"> </w:t>
      </w:r>
      <w:r w:rsidRPr="00465329">
        <w:rPr>
          <w:color w:val="181616"/>
          <w:sz w:val="22"/>
          <w:szCs w:val="22"/>
        </w:rPr>
        <w:t>New</w:t>
      </w:r>
      <w:r w:rsidRPr="00465329">
        <w:rPr>
          <w:color w:val="181616"/>
          <w:spacing w:val="40"/>
          <w:sz w:val="22"/>
          <w:szCs w:val="22"/>
        </w:rPr>
        <w:t xml:space="preserve"> </w:t>
      </w:r>
      <w:r w:rsidRPr="00465329">
        <w:rPr>
          <w:color w:val="181616"/>
          <w:sz w:val="22"/>
          <w:szCs w:val="22"/>
        </w:rPr>
        <w:t>Young</w:t>
      </w:r>
      <w:r w:rsidRPr="00465329">
        <w:rPr>
          <w:color w:val="181616"/>
          <w:spacing w:val="40"/>
          <w:sz w:val="22"/>
          <w:szCs w:val="22"/>
        </w:rPr>
        <w:t xml:space="preserve"> </w:t>
      </w:r>
      <w:r w:rsidRPr="00465329">
        <w:rPr>
          <w:color w:val="181616"/>
          <w:sz w:val="22"/>
          <w:szCs w:val="22"/>
        </w:rPr>
        <w:t>Woman</w:t>
      </w:r>
      <w:r w:rsidRPr="00465329">
        <w:rPr>
          <w:color w:val="181616"/>
          <w:spacing w:val="40"/>
          <w:sz w:val="22"/>
          <w:szCs w:val="22"/>
        </w:rPr>
        <w:t xml:space="preserve"> </w:t>
      </w:r>
      <w:r w:rsidRPr="00465329">
        <w:rPr>
          <w:color w:val="181616"/>
          <w:sz w:val="22"/>
          <w:szCs w:val="22"/>
        </w:rPr>
        <w:t>Consumer, Journal of Consumer Marketing, 2 (2), 41-54</w:t>
      </w:r>
    </w:p>
    <w:p w14:paraId="5898BFC6"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Clemes,</w:t>
      </w:r>
      <w:r w:rsidRPr="00465329">
        <w:rPr>
          <w:color w:val="181616"/>
          <w:spacing w:val="40"/>
          <w:sz w:val="22"/>
          <w:szCs w:val="22"/>
        </w:rPr>
        <w:t xml:space="preserve"> </w:t>
      </w:r>
      <w:r w:rsidRPr="00465329">
        <w:rPr>
          <w:color w:val="181616"/>
          <w:sz w:val="22"/>
          <w:szCs w:val="22"/>
        </w:rPr>
        <w:t>M.D.,</w:t>
      </w:r>
      <w:r w:rsidRPr="00465329">
        <w:rPr>
          <w:color w:val="181616"/>
          <w:spacing w:val="40"/>
          <w:sz w:val="22"/>
          <w:szCs w:val="22"/>
        </w:rPr>
        <w:t xml:space="preserve"> </w:t>
      </w:r>
      <w:r w:rsidRPr="00465329">
        <w:rPr>
          <w:color w:val="181616"/>
          <w:sz w:val="22"/>
          <w:szCs w:val="22"/>
        </w:rPr>
        <w:t>Dean,</w:t>
      </w:r>
      <w:r w:rsidRPr="00465329">
        <w:rPr>
          <w:color w:val="181616"/>
          <w:spacing w:val="40"/>
          <w:sz w:val="22"/>
          <w:szCs w:val="22"/>
        </w:rPr>
        <w:t xml:space="preserve"> </w:t>
      </w:r>
      <w:r w:rsidRPr="00465329">
        <w:rPr>
          <w:color w:val="181616"/>
          <w:sz w:val="22"/>
          <w:szCs w:val="22"/>
        </w:rPr>
        <w:t>D.L,</w:t>
      </w:r>
      <w:r w:rsidRPr="00465329">
        <w:rPr>
          <w:color w:val="181616"/>
          <w:spacing w:val="40"/>
          <w:sz w:val="22"/>
          <w:szCs w:val="22"/>
        </w:rPr>
        <w:t xml:space="preserve"> </w:t>
      </w:r>
      <w:r w:rsidRPr="00465329">
        <w:rPr>
          <w:color w:val="181616"/>
          <w:sz w:val="22"/>
          <w:szCs w:val="22"/>
        </w:rPr>
        <w:t>&amp;</w:t>
      </w:r>
      <w:r w:rsidRPr="00465329">
        <w:rPr>
          <w:color w:val="181616"/>
          <w:spacing w:val="37"/>
          <w:sz w:val="22"/>
          <w:szCs w:val="22"/>
        </w:rPr>
        <w:t xml:space="preserve"> </w:t>
      </w:r>
      <w:r w:rsidRPr="00465329">
        <w:rPr>
          <w:color w:val="181616"/>
          <w:sz w:val="22"/>
          <w:szCs w:val="22"/>
        </w:rPr>
        <w:t>Thitiya,</w:t>
      </w:r>
      <w:r w:rsidRPr="00465329">
        <w:rPr>
          <w:color w:val="181616"/>
          <w:spacing w:val="35"/>
          <w:sz w:val="22"/>
          <w:szCs w:val="22"/>
        </w:rPr>
        <w:t xml:space="preserve"> </w:t>
      </w:r>
      <w:r w:rsidRPr="00465329">
        <w:rPr>
          <w:color w:val="181616"/>
          <w:sz w:val="22"/>
          <w:szCs w:val="22"/>
        </w:rPr>
        <w:t>T.</w:t>
      </w:r>
      <w:r w:rsidRPr="00465329">
        <w:rPr>
          <w:color w:val="181616"/>
          <w:spacing w:val="40"/>
          <w:sz w:val="22"/>
          <w:szCs w:val="22"/>
        </w:rPr>
        <w:t xml:space="preserve"> </w:t>
      </w:r>
      <w:r w:rsidRPr="00465329">
        <w:rPr>
          <w:color w:val="181616"/>
          <w:sz w:val="22"/>
          <w:szCs w:val="22"/>
        </w:rPr>
        <w:t>(2020).</w:t>
      </w:r>
      <w:r w:rsidRPr="00465329">
        <w:rPr>
          <w:color w:val="181616"/>
          <w:spacing w:val="35"/>
          <w:sz w:val="22"/>
          <w:szCs w:val="22"/>
        </w:rPr>
        <w:t xml:space="preserve"> </w:t>
      </w:r>
      <w:r w:rsidRPr="00465329">
        <w:rPr>
          <w:color w:val="181616"/>
          <w:sz w:val="22"/>
          <w:szCs w:val="22"/>
        </w:rPr>
        <w:t>Modelling</w:t>
      </w:r>
      <w:r w:rsidRPr="00465329">
        <w:rPr>
          <w:color w:val="181616"/>
          <w:spacing w:val="40"/>
          <w:sz w:val="22"/>
          <w:szCs w:val="22"/>
        </w:rPr>
        <w:t xml:space="preserve"> </w:t>
      </w:r>
      <w:r w:rsidRPr="00465329">
        <w:rPr>
          <w:color w:val="181616"/>
          <w:sz w:val="22"/>
          <w:szCs w:val="22"/>
        </w:rPr>
        <w:t>the</w:t>
      </w:r>
      <w:r w:rsidRPr="00465329">
        <w:rPr>
          <w:color w:val="181616"/>
          <w:spacing w:val="40"/>
          <w:sz w:val="22"/>
          <w:szCs w:val="22"/>
        </w:rPr>
        <w:t xml:space="preserve"> </w:t>
      </w:r>
      <w:r w:rsidRPr="00465329">
        <w:rPr>
          <w:color w:val="181616"/>
          <w:sz w:val="22"/>
          <w:szCs w:val="22"/>
        </w:rPr>
        <w:t>behavioural</w:t>
      </w:r>
      <w:r w:rsidRPr="00465329">
        <w:rPr>
          <w:color w:val="181616"/>
          <w:spacing w:val="40"/>
          <w:sz w:val="22"/>
          <w:szCs w:val="22"/>
        </w:rPr>
        <w:t xml:space="preserve"> </w:t>
      </w:r>
      <w:r w:rsidRPr="00465329">
        <w:rPr>
          <w:color w:val="181616"/>
          <w:sz w:val="22"/>
          <w:szCs w:val="22"/>
        </w:rPr>
        <w:t>intentions</w:t>
      </w:r>
      <w:r w:rsidRPr="00465329">
        <w:rPr>
          <w:color w:val="181616"/>
          <w:spacing w:val="40"/>
          <w:sz w:val="22"/>
          <w:szCs w:val="22"/>
        </w:rPr>
        <w:t xml:space="preserve"> </w:t>
      </w:r>
      <w:r w:rsidRPr="00465329">
        <w:rPr>
          <w:color w:val="181616"/>
          <w:sz w:val="22"/>
          <w:szCs w:val="22"/>
        </w:rPr>
        <w:t>of day spa customers, Asia Pacific Journal of Marketing and Logistics, 1355-5855</w:t>
      </w:r>
    </w:p>
    <w:p w14:paraId="7701EA90" w14:textId="77777777" w:rsidR="001D3356" w:rsidRPr="00465329" w:rsidRDefault="00000000" w:rsidP="004E31FD">
      <w:pPr>
        <w:pStyle w:val="BodyText"/>
        <w:spacing w:after="0"/>
        <w:ind w:left="880" w:right="74" w:hanging="584"/>
        <w:jc w:val="both"/>
        <w:rPr>
          <w:sz w:val="22"/>
          <w:szCs w:val="22"/>
        </w:rPr>
      </w:pPr>
      <w:r w:rsidRPr="00465329">
        <w:rPr>
          <w:color w:val="181616"/>
          <w:sz w:val="22"/>
          <w:szCs w:val="22"/>
        </w:rPr>
        <w:t>DOI</w:t>
      </w:r>
      <w:r w:rsidRPr="00465329">
        <w:rPr>
          <w:color w:val="181616"/>
          <w:spacing w:val="43"/>
          <w:sz w:val="22"/>
          <w:szCs w:val="22"/>
        </w:rPr>
        <w:t xml:space="preserve"> </w:t>
      </w:r>
      <w:r w:rsidRPr="00465329">
        <w:rPr>
          <w:color w:val="181616"/>
          <w:sz w:val="22"/>
          <w:szCs w:val="22"/>
        </w:rPr>
        <w:t>10.1108/APJML-04-2019-</w:t>
      </w:r>
      <w:r w:rsidRPr="00465329">
        <w:rPr>
          <w:color w:val="181616"/>
          <w:spacing w:val="-4"/>
          <w:sz w:val="22"/>
          <w:szCs w:val="22"/>
        </w:rPr>
        <w:t>0258</w:t>
      </w:r>
    </w:p>
    <w:p w14:paraId="1F909C23" w14:textId="77777777" w:rsidR="001D3356" w:rsidRPr="00465329" w:rsidRDefault="00000000" w:rsidP="004E31FD">
      <w:pPr>
        <w:pStyle w:val="BodyText"/>
        <w:spacing w:after="0"/>
        <w:ind w:left="584" w:right="74" w:hanging="584"/>
        <w:jc w:val="both"/>
        <w:rPr>
          <w:sz w:val="22"/>
          <w:szCs w:val="22"/>
        </w:rPr>
      </w:pPr>
      <w:r w:rsidRPr="00465329">
        <w:rPr>
          <w:color w:val="181616"/>
          <w:sz w:val="22"/>
          <w:szCs w:val="22"/>
        </w:rPr>
        <w:t>Chaplin,</w:t>
      </w:r>
      <w:r w:rsidRPr="00465329">
        <w:rPr>
          <w:color w:val="181616"/>
          <w:spacing w:val="40"/>
          <w:sz w:val="22"/>
          <w:szCs w:val="22"/>
        </w:rPr>
        <w:t xml:space="preserve"> </w:t>
      </w:r>
      <w:r w:rsidRPr="00465329">
        <w:rPr>
          <w:color w:val="181616"/>
          <w:sz w:val="22"/>
          <w:szCs w:val="22"/>
        </w:rPr>
        <w:t>C.</w:t>
      </w:r>
      <w:r w:rsidRPr="00465329">
        <w:rPr>
          <w:color w:val="181616"/>
          <w:spacing w:val="40"/>
          <w:sz w:val="22"/>
          <w:szCs w:val="22"/>
        </w:rPr>
        <w:t xml:space="preserve"> </w:t>
      </w:r>
      <w:r w:rsidRPr="00465329">
        <w:rPr>
          <w:color w:val="181616"/>
          <w:sz w:val="22"/>
          <w:szCs w:val="22"/>
        </w:rPr>
        <w:t>N.</w:t>
      </w:r>
      <w:r w:rsidRPr="00465329">
        <w:rPr>
          <w:color w:val="181616"/>
          <w:spacing w:val="40"/>
          <w:sz w:val="22"/>
          <w:szCs w:val="22"/>
        </w:rPr>
        <w:t xml:space="preserve"> </w:t>
      </w:r>
      <w:r w:rsidRPr="00465329">
        <w:rPr>
          <w:color w:val="181616"/>
          <w:sz w:val="22"/>
          <w:szCs w:val="22"/>
        </w:rPr>
        <w:t>&amp;</w:t>
      </w:r>
      <w:r w:rsidRPr="00465329">
        <w:rPr>
          <w:color w:val="181616"/>
          <w:spacing w:val="40"/>
          <w:sz w:val="22"/>
          <w:szCs w:val="22"/>
        </w:rPr>
        <w:t xml:space="preserve"> </w:t>
      </w:r>
      <w:r w:rsidRPr="00465329">
        <w:rPr>
          <w:color w:val="181616"/>
          <w:sz w:val="22"/>
          <w:szCs w:val="22"/>
        </w:rPr>
        <w:t>John,</w:t>
      </w:r>
      <w:r w:rsidRPr="00465329">
        <w:rPr>
          <w:color w:val="181616"/>
          <w:spacing w:val="40"/>
          <w:sz w:val="22"/>
          <w:szCs w:val="22"/>
        </w:rPr>
        <w:t xml:space="preserve"> </w:t>
      </w:r>
      <w:r w:rsidRPr="00465329">
        <w:rPr>
          <w:color w:val="181616"/>
          <w:sz w:val="22"/>
          <w:szCs w:val="22"/>
        </w:rPr>
        <w:t>D.R.</w:t>
      </w:r>
      <w:r w:rsidRPr="00465329">
        <w:rPr>
          <w:color w:val="181616"/>
          <w:spacing w:val="40"/>
          <w:sz w:val="22"/>
          <w:szCs w:val="22"/>
        </w:rPr>
        <w:t xml:space="preserve"> </w:t>
      </w:r>
      <w:r w:rsidRPr="00465329">
        <w:rPr>
          <w:color w:val="181616"/>
          <w:sz w:val="22"/>
          <w:szCs w:val="22"/>
        </w:rPr>
        <w:t>(2005).</w:t>
      </w:r>
      <w:r w:rsidRPr="00465329">
        <w:rPr>
          <w:color w:val="181616"/>
          <w:spacing w:val="40"/>
          <w:sz w:val="22"/>
          <w:szCs w:val="22"/>
        </w:rPr>
        <w:t xml:space="preserve"> </w:t>
      </w:r>
      <w:r w:rsidRPr="00465329">
        <w:rPr>
          <w:color w:val="181616"/>
          <w:sz w:val="22"/>
          <w:szCs w:val="22"/>
        </w:rPr>
        <w:t>The</w:t>
      </w:r>
      <w:r w:rsidRPr="00465329">
        <w:rPr>
          <w:color w:val="181616"/>
          <w:spacing w:val="40"/>
          <w:sz w:val="22"/>
          <w:szCs w:val="22"/>
        </w:rPr>
        <w:t xml:space="preserve"> </w:t>
      </w:r>
      <w:r w:rsidRPr="00465329">
        <w:rPr>
          <w:color w:val="181616"/>
          <w:sz w:val="22"/>
          <w:szCs w:val="22"/>
        </w:rPr>
        <w:t>Development</w:t>
      </w:r>
      <w:r w:rsidRPr="00465329">
        <w:rPr>
          <w:color w:val="181616"/>
          <w:spacing w:val="40"/>
          <w:sz w:val="22"/>
          <w:szCs w:val="22"/>
        </w:rPr>
        <w:t xml:space="preserve"> </w:t>
      </w:r>
      <w:r w:rsidRPr="00465329">
        <w:rPr>
          <w:color w:val="181616"/>
          <w:sz w:val="22"/>
          <w:szCs w:val="22"/>
        </w:rPr>
        <w:t>of</w:t>
      </w:r>
      <w:r w:rsidRPr="00465329">
        <w:rPr>
          <w:color w:val="181616"/>
          <w:spacing w:val="40"/>
          <w:sz w:val="22"/>
          <w:szCs w:val="22"/>
        </w:rPr>
        <w:t xml:space="preserve"> </w:t>
      </w:r>
      <w:r w:rsidRPr="00465329">
        <w:rPr>
          <w:color w:val="181616"/>
          <w:sz w:val="22"/>
          <w:szCs w:val="22"/>
        </w:rPr>
        <w:t>Self-Brand</w:t>
      </w:r>
      <w:r w:rsidRPr="00465329">
        <w:rPr>
          <w:color w:val="181616"/>
          <w:spacing w:val="40"/>
          <w:sz w:val="22"/>
          <w:szCs w:val="22"/>
        </w:rPr>
        <w:t xml:space="preserve"> </w:t>
      </w:r>
      <w:r w:rsidRPr="00465329">
        <w:rPr>
          <w:color w:val="181616"/>
          <w:sz w:val="22"/>
          <w:szCs w:val="22"/>
        </w:rPr>
        <w:t>Connections</w:t>
      </w:r>
      <w:r w:rsidRPr="00465329">
        <w:rPr>
          <w:color w:val="181616"/>
          <w:spacing w:val="40"/>
          <w:sz w:val="22"/>
          <w:szCs w:val="22"/>
        </w:rPr>
        <w:t xml:space="preserve"> </w:t>
      </w:r>
      <w:r w:rsidRPr="00465329">
        <w:rPr>
          <w:color w:val="181616"/>
          <w:sz w:val="22"/>
          <w:szCs w:val="22"/>
        </w:rPr>
        <w:t>in Children and Adolescents,</w:t>
      </w:r>
      <w:r w:rsidRPr="00465329">
        <w:rPr>
          <w:color w:val="181616"/>
          <w:spacing w:val="40"/>
          <w:sz w:val="22"/>
          <w:szCs w:val="22"/>
        </w:rPr>
        <w:t xml:space="preserve"> </w:t>
      </w:r>
      <w:r w:rsidRPr="00465329">
        <w:rPr>
          <w:color w:val="181616"/>
          <w:sz w:val="22"/>
          <w:szCs w:val="22"/>
        </w:rPr>
        <w:t>Journal of Consumer Research, 32, 119-129</w:t>
      </w:r>
    </w:p>
    <w:p w14:paraId="09C2AE14" w14:textId="77777777" w:rsidR="001D3356" w:rsidRPr="00465329" w:rsidRDefault="00000000" w:rsidP="004E31FD">
      <w:pPr>
        <w:pStyle w:val="BodyText"/>
        <w:spacing w:after="0"/>
        <w:ind w:left="584" w:right="74" w:hanging="584"/>
        <w:jc w:val="both"/>
        <w:rPr>
          <w:color w:val="181616"/>
          <w:spacing w:val="-2"/>
          <w:sz w:val="22"/>
          <w:szCs w:val="22"/>
        </w:rPr>
      </w:pPr>
      <w:r w:rsidRPr="00465329">
        <w:rPr>
          <w:color w:val="181616"/>
          <w:sz w:val="22"/>
          <w:szCs w:val="22"/>
        </w:rPr>
        <w:t>Diamantopoulos,</w:t>
      </w:r>
      <w:r w:rsidRPr="00465329">
        <w:rPr>
          <w:color w:val="181616"/>
          <w:spacing w:val="40"/>
          <w:sz w:val="22"/>
          <w:szCs w:val="22"/>
        </w:rPr>
        <w:t xml:space="preserve"> </w:t>
      </w:r>
      <w:r w:rsidRPr="00465329">
        <w:rPr>
          <w:color w:val="181616"/>
          <w:sz w:val="22"/>
          <w:szCs w:val="22"/>
        </w:rPr>
        <w:t>A.,</w:t>
      </w:r>
      <w:r w:rsidRPr="00465329">
        <w:rPr>
          <w:color w:val="181616"/>
          <w:spacing w:val="40"/>
          <w:sz w:val="22"/>
          <w:szCs w:val="22"/>
        </w:rPr>
        <w:t xml:space="preserve"> </w:t>
      </w:r>
      <w:r w:rsidRPr="00465329">
        <w:rPr>
          <w:color w:val="181616"/>
          <w:sz w:val="22"/>
          <w:szCs w:val="22"/>
        </w:rPr>
        <w:t>Davydova,</w:t>
      </w:r>
      <w:r w:rsidRPr="00465329">
        <w:rPr>
          <w:color w:val="181616"/>
          <w:spacing w:val="40"/>
          <w:sz w:val="22"/>
          <w:szCs w:val="22"/>
        </w:rPr>
        <w:t xml:space="preserve"> </w:t>
      </w:r>
      <w:r w:rsidRPr="00465329">
        <w:rPr>
          <w:color w:val="181616"/>
          <w:sz w:val="22"/>
          <w:szCs w:val="22"/>
        </w:rPr>
        <w:t>O.</w:t>
      </w:r>
      <w:r w:rsidRPr="00465329">
        <w:rPr>
          <w:color w:val="181616"/>
          <w:spacing w:val="40"/>
          <w:sz w:val="22"/>
          <w:szCs w:val="22"/>
        </w:rPr>
        <w:t xml:space="preserve"> </w:t>
      </w:r>
      <w:r w:rsidRPr="00465329">
        <w:rPr>
          <w:color w:val="181616"/>
          <w:sz w:val="22"/>
          <w:szCs w:val="22"/>
        </w:rPr>
        <w:t>&amp;</w:t>
      </w:r>
      <w:r w:rsidRPr="00465329">
        <w:rPr>
          <w:color w:val="181616"/>
          <w:spacing w:val="40"/>
          <w:sz w:val="22"/>
          <w:szCs w:val="22"/>
        </w:rPr>
        <w:t xml:space="preserve"> </w:t>
      </w:r>
      <w:r w:rsidRPr="00465329">
        <w:rPr>
          <w:color w:val="181616"/>
          <w:sz w:val="22"/>
          <w:szCs w:val="22"/>
        </w:rPr>
        <w:t>Arslanagic-Kalajdzic,</w:t>
      </w:r>
      <w:r w:rsidRPr="00465329">
        <w:rPr>
          <w:color w:val="181616"/>
          <w:spacing w:val="40"/>
          <w:sz w:val="22"/>
          <w:szCs w:val="22"/>
        </w:rPr>
        <w:t xml:space="preserve"> </w:t>
      </w:r>
      <w:r w:rsidRPr="00465329">
        <w:rPr>
          <w:color w:val="181616"/>
          <w:sz w:val="22"/>
          <w:szCs w:val="22"/>
        </w:rPr>
        <w:t>M.</w:t>
      </w:r>
      <w:r w:rsidRPr="00465329">
        <w:rPr>
          <w:color w:val="181616"/>
          <w:spacing w:val="40"/>
          <w:sz w:val="22"/>
          <w:szCs w:val="22"/>
        </w:rPr>
        <w:t xml:space="preserve"> </w:t>
      </w:r>
      <w:r w:rsidRPr="00465329">
        <w:rPr>
          <w:color w:val="181616"/>
          <w:sz w:val="22"/>
          <w:szCs w:val="22"/>
        </w:rPr>
        <w:t>(2018).</w:t>
      </w:r>
      <w:r w:rsidRPr="00465329">
        <w:rPr>
          <w:color w:val="181616"/>
          <w:spacing w:val="40"/>
          <w:sz w:val="22"/>
          <w:szCs w:val="22"/>
        </w:rPr>
        <w:t xml:space="preserve"> </w:t>
      </w:r>
      <w:r w:rsidRPr="00465329">
        <w:rPr>
          <w:color w:val="181616"/>
          <w:sz w:val="22"/>
          <w:szCs w:val="22"/>
        </w:rPr>
        <w:t>Modelling</w:t>
      </w:r>
      <w:r w:rsidRPr="00465329">
        <w:rPr>
          <w:color w:val="181616"/>
          <w:spacing w:val="40"/>
          <w:sz w:val="22"/>
          <w:szCs w:val="22"/>
        </w:rPr>
        <w:t xml:space="preserve"> </w:t>
      </w:r>
      <w:r w:rsidRPr="00465329">
        <w:rPr>
          <w:color w:val="181616"/>
          <w:sz w:val="22"/>
          <w:szCs w:val="22"/>
        </w:rPr>
        <w:t xml:space="preserve">the role of consumers xenocentrism in impacting preferenses for domestic and foreign brands: A mediation analysis, Journal of Business Research, https://doi. </w:t>
      </w:r>
      <w:r w:rsidRPr="00465329">
        <w:rPr>
          <w:color w:val="181616"/>
          <w:spacing w:val="-2"/>
          <w:sz w:val="22"/>
          <w:szCs w:val="22"/>
        </w:rPr>
        <w:t>org/10.1016/j.jbusres.2018.12.007</w:t>
      </w:r>
    </w:p>
    <w:p w14:paraId="0C9CF40F" w14:textId="77777777" w:rsidR="001D3356" w:rsidRPr="00465329" w:rsidRDefault="00000000" w:rsidP="004E31FD">
      <w:pPr>
        <w:pStyle w:val="BodyText"/>
        <w:spacing w:after="0"/>
        <w:ind w:left="584" w:right="74" w:hanging="584"/>
        <w:jc w:val="both"/>
        <w:rPr>
          <w:color w:val="181616"/>
          <w:spacing w:val="-2"/>
          <w:sz w:val="22"/>
          <w:szCs w:val="22"/>
        </w:rPr>
      </w:pPr>
      <w:r w:rsidRPr="00465329">
        <w:rPr>
          <w:sz w:val="22"/>
          <w:szCs w:val="22"/>
        </w:rPr>
        <w:t xml:space="preserve">Kim, J., &amp; Sullivan, P. (2019). The Role of Brand Image and Quality Perception in Purchase Intention for Korean Beauty Products. </w:t>
      </w:r>
      <w:r w:rsidRPr="00465329">
        <w:rPr>
          <w:rStyle w:val="Emphasis"/>
          <w:sz w:val="22"/>
          <w:szCs w:val="22"/>
        </w:rPr>
        <w:t>Journal of Cosmetic Dermatology</w:t>
      </w:r>
      <w:r w:rsidRPr="00465329">
        <w:rPr>
          <w:sz w:val="22"/>
          <w:szCs w:val="22"/>
        </w:rPr>
        <w:t>, 18(4), 1109-1117.</w:t>
      </w:r>
    </w:p>
    <w:p w14:paraId="7C4B9F2A" w14:textId="77777777" w:rsidR="001D3356" w:rsidRPr="00465329" w:rsidRDefault="00000000" w:rsidP="004E31FD">
      <w:pPr>
        <w:pStyle w:val="BodyText"/>
        <w:spacing w:after="0"/>
        <w:ind w:left="584" w:right="74" w:hanging="584"/>
        <w:jc w:val="both"/>
        <w:rPr>
          <w:color w:val="181616"/>
          <w:spacing w:val="-2"/>
          <w:sz w:val="22"/>
          <w:szCs w:val="22"/>
        </w:rPr>
      </w:pPr>
      <w:r w:rsidRPr="00465329">
        <w:rPr>
          <w:sz w:val="22"/>
          <w:szCs w:val="22"/>
        </w:rPr>
        <w:t xml:space="preserve">Kotler, P., &amp; Keller, K. L. (2016). </w:t>
      </w:r>
      <w:r w:rsidRPr="00465329">
        <w:rPr>
          <w:rStyle w:val="Emphasis"/>
          <w:sz w:val="22"/>
          <w:szCs w:val="22"/>
        </w:rPr>
        <w:t>Marketing Management</w:t>
      </w:r>
      <w:r w:rsidRPr="00465329">
        <w:rPr>
          <w:sz w:val="22"/>
          <w:szCs w:val="22"/>
        </w:rPr>
        <w:t xml:space="preserve"> (15th ed.). Pearson.</w:t>
      </w:r>
    </w:p>
    <w:p w14:paraId="7C26058A" w14:textId="77777777" w:rsidR="001D3356" w:rsidRPr="00465329" w:rsidRDefault="00000000" w:rsidP="004E31FD">
      <w:pPr>
        <w:pStyle w:val="BodyText"/>
        <w:spacing w:after="0"/>
        <w:ind w:left="584" w:right="74" w:hanging="584"/>
        <w:jc w:val="both"/>
        <w:rPr>
          <w:sz w:val="22"/>
          <w:szCs w:val="22"/>
        </w:rPr>
      </w:pPr>
      <w:r w:rsidRPr="00465329">
        <w:rPr>
          <w:sz w:val="22"/>
          <w:szCs w:val="22"/>
        </w:rPr>
        <w:t xml:space="preserve">Schiffman, L. G., &amp; Kanuk, L. L. (2010). </w:t>
      </w:r>
      <w:r w:rsidRPr="00465329">
        <w:rPr>
          <w:rStyle w:val="Emphasis"/>
          <w:sz w:val="22"/>
          <w:szCs w:val="22"/>
        </w:rPr>
        <w:t>Consumer Behavior: A European Outlook</w:t>
      </w:r>
      <w:r w:rsidRPr="00465329">
        <w:rPr>
          <w:sz w:val="22"/>
          <w:szCs w:val="22"/>
        </w:rPr>
        <w:t>. Pearson Education.</w:t>
      </w:r>
    </w:p>
    <w:sectPr w:rsidR="001D3356" w:rsidRPr="00465329" w:rsidSect="00C26E32">
      <w:headerReference w:type="even" r:id="rId12"/>
      <w:headerReference w:type="default" r:id="rId13"/>
      <w:footerReference w:type="even" r:id="rId14"/>
      <w:footerReference w:type="default" r:id="rId15"/>
      <w:headerReference w:type="first" r:id="rId16"/>
      <w:footerReference w:type="first" r:id="rId17"/>
      <w:pgSz w:w="11907" w:h="16840"/>
      <w:pgMar w:top="2268" w:right="1276" w:bottom="1418" w:left="1701" w:header="924" w:footer="1134"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70FFE" w14:textId="77777777" w:rsidR="000E4730" w:rsidRDefault="000E4730">
      <w:r>
        <w:separator/>
      </w:r>
    </w:p>
  </w:endnote>
  <w:endnote w:type="continuationSeparator" w:id="0">
    <w:p w14:paraId="456E01E6" w14:textId="77777777" w:rsidR="000E4730" w:rsidRDefault="000E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24F3" w14:textId="5CC2B3A3" w:rsidR="001D3356" w:rsidRDefault="00000000">
    <w:pPr>
      <w:pStyle w:val="Header"/>
      <w:tabs>
        <w:tab w:val="left" w:pos="2992"/>
      </w:tabs>
      <w:spacing w:before="240"/>
      <w:rPr>
        <w:noProof/>
        <w:lang w:val="id-ID"/>
      </w:rPr>
    </w:pPr>
    <w:r>
      <w:rPr>
        <w:noProof/>
      </w:rPr>
      <mc:AlternateContent>
        <mc:Choice Requires="wps">
          <w:drawing>
            <wp:anchor distT="0" distB="0" distL="0" distR="0" simplePos="0" relativeHeight="3" behindDoc="0" locked="0" layoutInCell="1" allowOverlap="1" wp14:anchorId="484FC21D" wp14:editId="36D6B73D">
              <wp:simplePos x="0" y="0"/>
              <wp:positionH relativeFrom="column">
                <wp:posOffset>-12065</wp:posOffset>
              </wp:positionH>
              <wp:positionV relativeFrom="paragraph">
                <wp:posOffset>145415</wp:posOffset>
              </wp:positionV>
              <wp:extent cx="5580380" cy="0"/>
              <wp:effectExtent l="6985" t="12065" r="13334" b="6985"/>
              <wp:wrapNone/>
              <wp:docPr id="40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0"/>
                      </a:xfrm>
                      <a:prstGeom prst="line">
                        <a:avLst/>
                      </a:prstGeom>
                      <a:ln w="9525" cap="flat" cmpd="sng">
                        <a:solidFill>
                          <a:srgbClr val="000000"/>
                        </a:solidFill>
                        <a:prstDash val="solid"/>
                        <a:round/>
                        <a:headEnd/>
                        <a:tailEnd/>
                      </a:ln>
                    </wps:spPr>
                    <wps:bodyPr/>
                  </wps:wsp>
                </a:graphicData>
              </a:graphic>
            </wp:anchor>
          </w:drawing>
        </mc:Choice>
        <mc:Fallback>
          <w:pict>
            <v:line w14:anchorId="02788ECD" id="Line 3"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">
              <o:lock v:ext="edit" shapetype="f"/>
            </v:line>
          </w:pict>
        </mc:Fallback>
      </mc:AlternateContent>
    </w:r>
    <w:r>
      <w:rPr>
        <w:noProof/>
        <w:lang w:val="id-ID"/>
      </w:rPr>
      <w:t xml:space="preserve">International Conference on Islamic Economics Community Services (ICIECS) </w:t>
    </w:r>
    <w:r>
      <w:t xml:space="preserve">2023:  </w:t>
    </w:r>
    <w:r w:rsidR="00C26E32">
      <w:t>73</w:t>
    </w:r>
    <w:r>
      <w:t xml:space="preserve"> - </w:t>
    </w:r>
    <w:r w:rsidR="00C26E32">
      <w:t>8</w:t>
    </w:r>
    <w:r w:rsidR="00465329">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11AD" w14:textId="2B62C871" w:rsidR="001D3356" w:rsidRDefault="004E31FD" w:rsidP="004E31FD">
    <w:pPr>
      <w:pStyle w:val="Footer"/>
      <w:pBdr>
        <w:top w:val="single" w:sz="4" w:space="1" w:color="auto"/>
      </w:pBdr>
      <w:jc w:val="right"/>
      <w:rPr>
        <w:i/>
      </w:rPr>
    </w:pPr>
    <w:r w:rsidRPr="004E31FD">
      <w:rPr>
        <w:b/>
        <w:bCs/>
        <w:i/>
        <w:iCs/>
      </w:rPr>
      <w:t>The Influence of Consumer Knowledge and Product Quality Perception on Korean Beauty Product Purchase Decisions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6FF9" w14:textId="77777777" w:rsidR="001D3356" w:rsidRDefault="00000000">
    <w:pPr>
      <w:pStyle w:val="Footer"/>
      <w:pBdr>
        <w:top w:val="single" w:sz="4" w:space="1" w:color="auto"/>
      </w:pBdr>
      <w:spacing w:before="240"/>
      <w:rPr>
        <w:i/>
        <w:szCs w:val="18"/>
      </w:rPr>
    </w:pPr>
    <w:r>
      <w:rPr>
        <w:b/>
        <w:i/>
        <w:szCs w:val="18"/>
      </w:rPr>
      <w:t>Journal homepage</w:t>
    </w:r>
    <w:r>
      <w:rPr>
        <w:i/>
        <w:szCs w:val="18"/>
      </w:rPr>
      <w:t xml:space="preserve">: </w:t>
    </w:r>
    <w:r>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CD1A" w14:textId="77777777" w:rsidR="000E4730" w:rsidRDefault="000E4730">
      <w:r>
        <w:separator/>
      </w:r>
    </w:p>
  </w:footnote>
  <w:footnote w:type="continuationSeparator" w:id="0">
    <w:p w14:paraId="5291E11E" w14:textId="77777777" w:rsidR="000E4730" w:rsidRDefault="000E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BCB8" w14:textId="77777777" w:rsidR="001D3356" w:rsidRDefault="0000000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FF0AB1F" w14:textId="75AB8A63" w:rsidR="001D3356" w:rsidRDefault="00000000">
    <w:pPr>
      <w:pStyle w:val="Header"/>
      <w:tabs>
        <w:tab w:val="clear" w:pos="4320"/>
        <w:tab w:val="clear" w:pos="8640"/>
      </w:tabs>
      <w:spacing w:after="240"/>
    </w:pPr>
    <w:r>
      <w:rPr>
        <w:noProof/>
      </w:rPr>
      <mc:AlternateContent>
        <mc:Choice Requires="wps">
          <w:drawing>
            <wp:anchor distT="0" distB="0" distL="0" distR="0" simplePos="0" relativeHeight="251670016" behindDoc="0" locked="0" layoutInCell="1" allowOverlap="1" wp14:anchorId="76023B74" wp14:editId="4EAFC61A">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a:tailEnd/>
                      </a:ln>
                    </wps:spPr>
                    <wps:bodyPr/>
                  </wps:wsp>
                </a:graphicData>
              </a:graphic>
            </wp:anchor>
          </w:drawing>
        </mc:Choice>
        <mc:Fallback>
          <w:pict>
            <v:shapetype w14:anchorId="0E3793B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700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" strokeweight="1pt">
              <o:lock v:ext="edit" shapetype="f"/>
            </v:shape>
          </w:pict>
        </mc:Fallback>
      </mc:AlternateContent>
    </w:r>
    <w:r>
      <w:t xml:space="preserve">     </w:t>
    </w:r>
    <w:r>
      <w:tab/>
    </w:r>
    <w:r>
      <w:sym w:font="Wingdings" w:char="F072"/>
    </w:r>
    <w:r>
      <w:t xml:space="preserve"> </w:t>
    </w:r>
    <w:r>
      <w:tab/>
    </w:r>
    <w:r>
      <w:tab/>
      <w:t xml:space="preserve">       </w:t>
    </w:r>
    <w:r w:rsidR="004E31FD">
      <w:tab/>
    </w:r>
    <w:r w:rsidR="004E31FD">
      <w:tab/>
    </w:r>
    <w:r w:rsidR="004E31FD">
      <w:tab/>
    </w:r>
    <w:r w:rsidR="004E31FD">
      <w:tab/>
    </w:r>
    <w:r w:rsidR="004E31FD">
      <w:tab/>
    </w:r>
    <w:r w:rsidR="004E31FD">
      <w:tab/>
      <w:t xml:space="preserve">        </w:t>
    </w:r>
    <w:r>
      <w:t xml:space="preserve">ISSN: </w:t>
    </w:r>
    <w:r w:rsidR="004E31FD">
      <w:t>XXXX -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E312" w14:textId="50E8EA01" w:rsidR="001D3356" w:rsidRDefault="00000000">
    <w:pPr>
      <w:pStyle w:val="Header"/>
      <w:pBdr>
        <w:bottom w:val="single" w:sz="4" w:space="1" w:color="auto"/>
      </w:pBdr>
      <w:tabs>
        <w:tab w:val="clear" w:pos="4320"/>
        <w:tab w:val="clear" w:pos="8640"/>
      </w:tabs>
      <w:rPr>
        <w:lang w:val="en-GB" w:eastAsia="en-GB"/>
      </w:rPr>
    </w:pPr>
    <w:r>
      <w:rPr>
        <w:lang w:val="en-GB" w:eastAsia="en-GB"/>
      </w:rPr>
      <w:t>International Conference on Islamic Economics Community Services (ICIECS – FEBI UIN</w:t>
    </w:r>
    <w:r w:rsidR="004E31FD">
      <w:rPr>
        <w:lang w:val="en-GB" w:eastAsia="en-GB"/>
      </w:rPr>
      <w:t>-</w:t>
    </w:r>
    <w:r>
      <w:rPr>
        <w:lang w:val="en-GB" w:eastAsia="en-GB"/>
      </w:rPr>
      <w:t>SU)</w:t>
    </w:r>
    <w:r>
      <w:tab/>
    </w:r>
  </w:p>
  <w:p w14:paraId="0D71DA52" w14:textId="77777777" w:rsidR="001D3356" w:rsidRDefault="001D335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B806" w14:textId="77777777" w:rsidR="001D3356" w:rsidRDefault="00000000">
    <w:pPr>
      <w:pStyle w:val="Header"/>
      <w:tabs>
        <w:tab w:val="clear" w:pos="4320"/>
        <w:tab w:val="clear" w:pos="8640"/>
      </w:tabs>
      <w:ind w:right="45"/>
      <w:jc w:val="both"/>
      <w:rPr>
        <w:rStyle w:val="PageNumber"/>
      </w:rPr>
    </w:pPr>
    <w:r>
      <w:rPr>
        <w:noProof/>
      </w:rPr>
      <w:drawing>
        <wp:anchor distT="0" distB="0" distL="0" distR="0" simplePos="0" relativeHeight="5" behindDoc="1" locked="0" layoutInCell="1" allowOverlap="1" wp14:anchorId="66407DCB" wp14:editId="5326BE65">
          <wp:simplePos x="0" y="0"/>
          <wp:positionH relativeFrom="column">
            <wp:posOffset>-908684</wp:posOffset>
          </wp:positionH>
          <wp:positionV relativeFrom="paragraph">
            <wp:posOffset>-586740</wp:posOffset>
          </wp:positionV>
          <wp:extent cx="2889250" cy="1441450"/>
          <wp:effectExtent l="0" t="0" r="0" b="0"/>
          <wp:wrapNone/>
          <wp:docPr id="4099" name="Picture 14"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4"/>
                  <pic:cNvPicPr/>
                </pic:nvPicPr>
                <pic:blipFill>
                  <a:blip r:embed="rId1" cstate="print"/>
                  <a:srcRect/>
                  <a:stretch/>
                </pic:blipFill>
                <pic:spPr>
                  <a:xfrm>
                    <a:off x="0" y="0"/>
                    <a:ext cx="2889250" cy="1441450"/>
                  </a:xfrm>
                  <a:prstGeom prst="rect">
                    <a:avLst/>
                  </a:prstGeom>
                  <a:ln>
                    <a:noFill/>
                  </a:ln>
                </pic:spPr>
              </pic:pic>
            </a:graphicData>
          </a:graphic>
        </wp:anchor>
      </w:drawing>
    </w:r>
    <w:r>
      <w:rPr>
        <w:noProof/>
      </w:rPr>
      <w:drawing>
        <wp:anchor distT="0" distB="0" distL="0" distR="0" simplePos="0" relativeHeight="4" behindDoc="1" locked="0" layoutInCell="1" allowOverlap="1" wp14:anchorId="106306E1" wp14:editId="420BA594">
          <wp:simplePos x="0" y="0"/>
          <wp:positionH relativeFrom="page">
            <wp:posOffset>5224145</wp:posOffset>
          </wp:positionH>
          <wp:positionV relativeFrom="paragraph">
            <wp:posOffset>-1209040</wp:posOffset>
          </wp:positionV>
          <wp:extent cx="2412999" cy="2413000"/>
          <wp:effectExtent l="0" t="0" r="0" b="0"/>
          <wp:wrapNone/>
          <wp:docPr id="4100" name="Picture 13" descr="A logo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3"/>
                  <pic:cNvPicPr/>
                </pic:nvPicPr>
                <pic:blipFill>
                  <a:blip r:embed="rId2" cstate="print"/>
                  <a:srcRect/>
                  <a:stretch/>
                </pic:blipFill>
                <pic:spPr>
                  <a:xfrm>
                    <a:off x="0" y="0"/>
                    <a:ext cx="2412999" cy="2413000"/>
                  </a:xfrm>
                  <a:prstGeom prst="rect">
                    <a:avLst/>
                  </a:prstGeom>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1D908357" w14:textId="77777777" w:rsidR="001D3356" w:rsidRDefault="00000000">
    <w:pPr>
      <w:pStyle w:val="Header"/>
      <w:tabs>
        <w:tab w:val="clear" w:pos="4320"/>
        <w:tab w:val="clear" w:pos="8640"/>
      </w:tabs>
      <w:ind w:right="45"/>
      <w:jc w:val="both"/>
      <w:rPr>
        <w:rStyle w:val="PageNumber"/>
      </w:rPr>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62F80515"/>
    <w:lvl w:ilvl="0">
      <w:start w:val="1"/>
      <w:numFmt w:val="decimal"/>
      <w:pStyle w:val="yange2"/>
      <w:lvlText w:val="%1."/>
      <w:lvlJc w:val="left"/>
      <w:pPr>
        <w:tabs>
          <w:tab w:val="left" w:pos="360"/>
        </w:tabs>
        <w:ind w:left="360" w:hanging="360"/>
      </w:pPr>
    </w:lvl>
  </w:abstractNum>
  <w:abstractNum w:abstractNumId="1" w15:restartNumberingAfterBreak="0">
    <w:nsid w:val="00000002"/>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3" w15:restartNumberingAfterBreak="0">
    <w:nsid w:val="621E522D"/>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num w:numId="1" w16cid:durableId="1086682982">
    <w:abstractNumId w:val="0"/>
  </w:num>
  <w:num w:numId="2" w16cid:durableId="262735448">
    <w:abstractNumId w:val="3"/>
  </w:num>
  <w:num w:numId="3" w16cid:durableId="661470188">
    <w:abstractNumId w:val="2"/>
  </w:num>
  <w:num w:numId="4" w16cid:durableId="82162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356"/>
    <w:rsid w:val="00070FC4"/>
    <w:rsid w:val="0008785B"/>
    <w:rsid w:val="000E4730"/>
    <w:rsid w:val="001D3356"/>
    <w:rsid w:val="00413EC7"/>
    <w:rsid w:val="00465329"/>
    <w:rsid w:val="004A101E"/>
    <w:rsid w:val="004E043E"/>
    <w:rsid w:val="004E31FD"/>
    <w:rsid w:val="009D7CE9"/>
    <w:rsid w:val="00C26E32"/>
    <w:rsid w:val="00CE7B2F"/>
    <w:rsid w:val="00D96080"/>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8507C"/>
  <w15:docId w15:val="{2ED4D1FD-B305-406F-8CC1-02D28BC1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bCs/>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uiPriority w:val="11"/>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NoSpacingChar">
    <w:name w:val="No Spacing Char"/>
    <w:link w:val="NoSpacing"/>
    <w:uiPriority w:val="1"/>
    <w:qFormat/>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customStyle="1" w:styleId="TableParagraph">
    <w:name w:val="Table Paragraph"/>
    <w:basedOn w:val="Normal"/>
    <w:uiPriority w:val="1"/>
    <w:qFormat/>
    <w:pPr>
      <w:widowControl w:val="0"/>
      <w:autoSpaceDE w:val="0"/>
      <w:autoSpaceDN w:val="0"/>
      <w:spacing w:before="3"/>
      <w:ind w:left="5"/>
      <w:jc w:val="center"/>
    </w:pPr>
    <w:rPr>
      <w:sz w:val="22"/>
      <w:szCs w:val="22"/>
    </w:rPr>
  </w:style>
  <w:style w:type="character" w:styleId="UnresolvedMention">
    <w:name w:val="Unresolved Mention"/>
    <w:basedOn w:val="DefaultParagraphFont"/>
    <w:uiPriority w:val="99"/>
    <w:semiHidden/>
    <w:unhideWhenUsed/>
    <w:rsid w:val="004E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DC445-FFA2-4D78-8DFB-F5B5E52F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4357</Words>
  <Characters>24838</Characters>
  <Application>Microsoft Office Word</Application>
  <DocSecurity>0</DocSecurity>
  <Lines>206</Lines>
  <Paragraphs>58</Paragraphs>
  <ScaleCrop>false</ScaleCrop>
  <Manager>Bayu Sindhu Raharja</Manager>
  <Company>Universitas Islam Raden Mas Said Surakarta</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14</cp:revision>
  <cp:lastPrinted>2004-12-30T03:27:00Z</cp:lastPrinted>
  <dcterms:created xsi:type="dcterms:W3CDTF">2024-04-23T08:05:00Z</dcterms:created>
  <dcterms:modified xsi:type="dcterms:W3CDTF">2024-09-18T13:31:00Z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