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20B" w:rsidRDefault="0021420B" w:rsidP="00F349C2">
      <w:pPr>
        <w:pStyle w:val="PaperTitle"/>
        <w:spacing w:before="0" w:after="0"/>
        <w:jc w:val="center"/>
        <w:rPr>
          <w:rFonts w:ascii="Times New Roman" w:hAnsi="Times New Roman" w:cs="Times New Roman"/>
          <w:color w:val="000000"/>
          <w:spacing w:val="0"/>
          <w:kern w:val="0"/>
          <w:position w:val="0"/>
          <w:sz w:val="28"/>
          <w:szCs w:val="24"/>
          <w:lang w:val="id-ID" w:eastAsia="en-US"/>
        </w:rPr>
      </w:pPr>
      <w:r>
        <w:rPr>
          <w:rFonts w:ascii="Times New Roman" w:hAnsi="Times New Roman" w:cs="Times New Roman"/>
          <w:color w:val="000000"/>
          <w:spacing w:val="0"/>
          <w:kern w:val="0"/>
          <w:position w:val="0"/>
          <w:sz w:val="28"/>
          <w:szCs w:val="24"/>
          <w:lang w:val="id-ID" w:eastAsia="en-US"/>
        </w:rPr>
        <w:t>Tinjauan Perkembangan d</w:t>
      </w:r>
      <w:r w:rsidRPr="001E6CD7">
        <w:rPr>
          <w:rFonts w:ascii="Times New Roman" w:hAnsi="Times New Roman" w:cs="Times New Roman"/>
          <w:color w:val="000000"/>
          <w:spacing w:val="0"/>
          <w:kern w:val="0"/>
          <w:position w:val="0"/>
          <w:sz w:val="28"/>
          <w:szCs w:val="24"/>
          <w:lang w:val="id-ID" w:eastAsia="en-US"/>
        </w:rPr>
        <w:t xml:space="preserve">an Pertumbuhan </w:t>
      </w:r>
    </w:p>
    <w:p w:rsidR="00EA64AF" w:rsidRDefault="0021420B" w:rsidP="0021420B">
      <w:pPr>
        <w:pStyle w:val="PaperTitle"/>
        <w:spacing w:before="0" w:after="0"/>
        <w:jc w:val="center"/>
        <w:rPr>
          <w:rFonts w:ascii="Times New Roman" w:hAnsi="Times New Roman" w:cs="Times New Roman"/>
          <w:color w:val="000000"/>
          <w:spacing w:val="0"/>
          <w:kern w:val="0"/>
          <w:position w:val="0"/>
          <w:sz w:val="28"/>
          <w:szCs w:val="24"/>
          <w:lang w:val="id-ID" w:eastAsia="en-US"/>
        </w:rPr>
      </w:pPr>
      <w:r w:rsidRPr="001E6CD7">
        <w:rPr>
          <w:rFonts w:ascii="Times New Roman" w:hAnsi="Times New Roman" w:cs="Times New Roman"/>
          <w:color w:val="000000"/>
          <w:spacing w:val="0"/>
          <w:kern w:val="0"/>
          <w:position w:val="0"/>
          <w:sz w:val="28"/>
          <w:szCs w:val="24"/>
          <w:lang w:val="id-ID" w:eastAsia="en-US"/>
        </w:rPr>
        <w:t xml:space="preserve">Perbankan </w:t>
      </w:r>
      <w:r>
        <w:rPr>
          <w:rFonts w:ascii="Times New Roman" w:hAnsi="Times New Roman" w:cs="Times New Roman"/>
          <w:color w:val="000000"/>
          <w:spacing w:val="0"/>
          <w:kern w:val="0"/>
          <w:position w:val="0"/>
          <w:sz w:val="28"/>
          <w:szCs w:val="24"/>
          <w:lang w:val="id-ID" w:eastAsia="en-US"/>
        </w:rPr>
        <w:t xml:space="preserve">Syariah di </w:t>
      </w:r>
      <w:r w:rsidRPr="001E6CD7">
        <w:rPr>
          <w:rFonts w:ascii="Times New Roman" w:hAnsi="Times New Roman" w:cs="Times New Roman"/>
          <w:color w:val="000000"/>
          <w:spacing w:val="0"/>
          <w:kern w:val="0"/>
          <w:position w:val="0"/>
          <w:sz w:val="28"/>
          <w:szCs w:val="24"/>
          <w:lang w:val="id-ID" w:eastAsia="en-US"/>
        </w:rPr>
        <w:t>Indonesia</w:t>
      </w:r>
    </w:p>
    <w:p w:rsidR="0021420B" w:rsidRDefault="0021420B" w:rsidP="0021420B">
      <w:pPr>
        <w:pStyle w:val="PaperTitle"/>
        <w:spacing w:before="0" w:after="0"/>
        <w:jc w:val="center"/>
        <w:rPr>
          <w:rFonts w:ascii="Times New Roman" w:hAnsi="Times New Roman" w:cs="Times New Roman"/>
          <w:color w:val="000000"/>
          <w:spacing w:val="0"/>
          <w:kern w:val="0"/>
          <w:position w:val="0"/>
          <w:sz w:val="28"/>
          <w:szCs w:val="24"/>
          <w:lang w:val="id-ID" w:eastAsia="en-US"/>
        </w:rPr>
      </w:pPr>
    </w:p>
    <w:p w:rsidR="00416DCE" w:rsidRPr="005D1145" w:rsidRDefault="00416DCE" w:rsidP="00FA5412">
      <w:pPr>
        <w:jc w:val="center"/>
        <w:rPr>
          <w:b/>
          <w:bCs/>
        </w:rPr>
      </w:pPr>
      <w:r w:rsidRPr="005D1145">
        <w:rPr>
          <w:b/>
          <w:bCs/>
        </w:rPr>
        <w:t xml:space="preserve">Dedi Suhendro </w:t>
      </w:r>
    </w:p>
    <w:p w:rsidR="00416DCE" w:rsidRPr="005D1145" w:rsidRDefault="00416DCE" w:rsidP="00FA5412">
      <w:pPr>
        <w:jc w:val="center"/>
        <w:rPr>
          <w:color w:val="000000" w:themeColor="text1"/>
          <w:lang w:val="id-ID"/>
        </w:rPr>
      </w:pPr>
    </w:p>
    <w:p w:rsidR="00416DCE" w:rsidRPr="005D1145" w:rsidRDefault="00416DCE" w:rsidP="00FA5412">
      <w:pPr>
        <w:jc w:val="center"/>
        <w:rPr>
          <w:color w:val="000000" w:themeColor="text1"/>
          <w:lang w:val="pt-BR"/>
        </w:rPr>
      </w:pPr>
      <w:r w:rsidRPr="005D1145">
        <w:rPr>
          <w:color w:val="000000" w:themeColor="text1"/>
          <w:lang w:val="pt-BR"/>
        </w:rPr>
        <w:t>AMIK Tunas Bangsa Pematangsiantar, Sumatera Utara-Indonesia</w:t>
      </w:r>
    </w:p>
    <w:p w:rsidR="00416DCE" w:rsidRPr="005D1145" w:rsidRDefault="00416DCE" w:rsidP="00FA5412">
      <w:pPr>
        <w:pStyle w:val="IEEEAuthorAffiliation"/>
        <w:spacing w:after="0"/>
        <w:rPr>
          <w:i w:val="0"/>
          <w:color w:val="000000" w:themeColor="text1"/>
          <w:sz w:val="24"/>
        </w:rPr>
      </w:pPr>
      <w:r w:rsidRPr="005D1145">
        <w:rPr>
          <w:i w:val="0"/>
          <w:color w:val="000000" w:themeColor="text1"/>
          <w:sz w:val="24"/>
        </w:rPr>
        <w:t xml:space="preserve">Jalan </w:t>
      </w:r>
      <w:r w:rsidR="00F37ABA" w:rsidRPr="005D1145">
        <w:rPr>
          <w:i w:val="0"/>
          <w:color w:val="000000" w:themeColor="text1"/>
          <w:sz w:val="24"/>
          <w:lang w:val="id-ID"/>
        </w:rPr>
        <w:t xml:space="preserve">Jendral </w:t>
      </w:r>
      <w:r w:rsidRPr="005D1145">
        <w:rPr>
          <w:i w:val="0"/>
          <w:color w:val="000000" w:themeColor="text1"/>
          <w:sz w:val="24"/>
        </w:rPr>
        <w:t xml:space="preserve">Sudirman Blok </w:t>
      </w:r>
      <w:proofErr w:type="gramStart"/>
      <w:r w:rsidRPr="005D1145">
        <w:rPr>
          <w:i w:val="0"/>
          <w:color w:val="000000" w:themeColor="text1"/>
          <w:sz w:val="24"/>
        </w:rPr>
        <w:t>A</w:t>
      </w:r>
      <w:proofErr w:type="gramEnd"/>
      <w:r w:rsidRPr="005D1145">
        <w:rPr>
          <w:i w:val="0"/>
          <w:color w:val="000000" w:themeColor="text1"/>
          <w:sz w:val="24"/>
        </w:rPr>
        <w:t xml:space="preserve"> No. 1, 2, 3 Pematangsiantar</w:t>
      </w:r>
    </w:p>
    <w:p w:rsidR="00797B9B" w:rsidRPr="005D1145" w:rsidRDefault="00AD2FB5" w:rsidP="00FA5412">
      <w:pPr>
        <w:pStyle w:val="PlainText"/>
        <w:jc w:val="center"/>
        <w:rPr>
          <w:rFonts w:ascii="Times New Roman" w:hAnsi="Times New Roman" w:cs="Times New Roman"/>
          <w:b/>
          <w:bCs/>
          <w:iCs/>
          <w:sz w:val="24"/>
          <w:szCs w:val="24"/>
          <w:lang w:val="id-ID" w:eastAsia="zh-CN"/>
        </w:rPr>
      </w:pPr>
      <w:hyperlink r:id="rId9" w:history="1">
        <w:r w:rsidR="0037701F" w:rsidRPr="005D1145">
          <w:rPr>
            <w:rStyle w:val="Hyperlink"/>
            <w:rFonts w:ascii="Times New Roman" w:hAnsi="Times New Roman" w:cs="Times New Roman"/>
            <w:sz w:val="24"/>
            <w:szCs w:val="24"/>
            <w:lang w:val="pt-BR"/>
          </w:rPr>
          <w:t>D</w:t>
        </w:r>
        <w:r w:rsidR="0037701F" w:rsidRPr="005D1145">
          <w:rPr>
            <w:rStyle w:val="Hyperlink"/>
            <w:rFonts w:ascii="Times New Roman" w:hAnsi="Times New Roman" w:cs="Times New Roman"/>
            <w:sz w:val="24"/>
            <w:szCs w:val="24"/>
            <w:lang w:val="id-ID"/>
          </w:rPr>
          <w:t>edi.su@amiktunasbangsa.ac.id</w:t>
        </w:r>
      </w:hyperlink>
      <w:r w:rsidR="0037701F" w:rsidRPr="005D1145">
        <w:rPr>
          <w:rFonts w:ascii="Times New Roman" w:hAnsi="Times New Roman" w:cs="Times New Roman"/>
          <w:sz w:val="24"/>
          <w:szCs w:val="24"/>
          <w:lang w:val="id-ID"/>
        </w:rPr>
        <w:t xml:space="preserve"> </w:t>
      </w:r>
      <w:r w:rsidR="00C25FE5" w:rsidRPr="005D1145">
        <w:rPr>
          <w:rFonts w:ascii="Times New Roman" w:hAnsi="Times New Roman" w:cs="Times New Roman"/>
          <w:sz w:val="24"/>
          <w:szCs w:val="24"/>
          <w:lang w:val="id-ID"/>
        </w:rPr>
        <w:t xml:space="preserve">atau </w:t>
      </w:r>
      <w:r w:rsidR="0037701F" w:rsidRPr="005D1145">
        <w:rPr>
          <w:rFonts w:ascii="Times New Roman" w:hAnsi="Times New Roman" w:cs="Times New Roman"/>
          <w:color w:val="0000FF"/>
          <w:sz w:val="24"/>
          <w:szCs w:val="24"/>
          <w:u w:val="single"/>
          <w:lang w:val="id-ID"/>
        </w:rPr>
        <w:t>didihendra5@ymail.com</w:t>
      </w:r>
    </w:p>
    <w:p w:rsidR="007E1056" w:rsidRPr="005D1145" w:rsidRDefault="007E1056" w:rsidP="00FA5412">
      <w:pPr>
        <w:jc w:val="center"/>
        <w:rPr>
          <w:sz w:val="20"/>
          <w:szCs w:val="20"/>
          <w:lang w:val="pt-BR"/>
        </w:rPr>
      </w:pPr>
    </w:p>
    <w:p w:rsidR="001A436D" w:rsidRDefault="001A436D" w:rsidP="00BC2C9E">
      <w:pPr>
        <w:spacing w:line="360" w:lineRule="auto"/>
        <w:jc w:val="both"/>
        <w:rPr>
          <w:b/>
          <w:bCs/>
          <w:i/>
          <w:iCs/>
          <w:color w:val="000000"/>
          <w:lang w:val="id-ID"/>
        </w:rPr>
      </w:pPr>
      <w:r w:rsidRPr="005D1145">
        <w:rPr>
          <w:b/>
          <w:bCs/>
          <w:i/>
          <w:iCs/>
          <w:color w:val="000000"/>
        </w:rPr>
        <w:t>Abstract</w:t>
      </w:r>
    </w:p>
    <w:p w:rsidR="00BC2C9E" w:rsidRDefault="00BC2C9E" w:rsidP="00E25A1B">
      <w:pPr>
        <w:ind w:firstLine="720"/>
        <w:jc w:val="both"/>
        <w:rPr>
          <w:i/>
          <w:lang w:val="id-ID" w:eastAsia="id-ID"/>
        </w:rPr>
      </w:pPr>
      <w:r w:rsidRPr="0082185A">
        <w:rPr>
          <w:i/>
          <w:lang w:val="en" w:eastAsia="id-ID"/>
        </w:rPr>
        <w:t xml:space="preserve">The largest population of Islam in the world is an Indonesian country where the </w:t>
      </w:r>
      <w:r w:rsidRPr="0082185A">
        <w:rPr>
          <w:i/>
          <w:lang w:eastAsia="id-ID"/>
        </w:rPr>
        <w:t>amouth</w:t>
      </w:r>
      <w:r w:rsidRPr="0082185A">
        <w:rPr>
          <w:i/>
          <w:lang w:val="en" w:eastAsia="id-ID"/>
        </w:rPr>
        <w:t xml:space="preserve"> of Muslim population reaches 204 million inhabitants. The </w:t>
      </w:r>
      <w:r w:rsidRPr="0082185A">
        <w:rPr>
          <w:i/>
          <w:lang w:eastAsia="id-ID"/>
        </w:rPr>
        <w:t>amouth</w:t>
      </w:r>
      <w:r w:rsidRPr="0082185A">
        <w:rPr>
          <w:i/>
          <w:lang w:val="en" w:eastAsia="id-ID"/>
        </w:rPr>
        <w:t xml:space="preserve"> of Islam that is classified as many in </w:t>
      </w:r>
      <w:proofErr w:type="gramStart"/>
      <w:r w:rsidRPr="0082185A">
        <w:rPr>
          <w:i/>
          <w:lang w:val="en" w:eastAsia="id-ID"/>
        </w:rPr>
        <w:t>Indonesia,</w:t>
      </w:r>
      <w:proofErr w:type="gramEnd"/>
      <w:r w:rsidRPr="0082185A">
        <w:rPr>
          <w:i/>
          <w:lang w:val="en" w:eastAsia="id-ID"/>
        </w:rPr>
        <w:t xml:space="preserve"> has a potential to trigger the development and growth of sharia banks. Government's attention and support for sharia banking is strengthened by the policy with the issuance of sharia banking law.</w:t>
      </w:r>
      <w:r w:rsidRPr="0082185A">
        <w:rPr>
          <w:i/>
          <w:lang w:eastAsia="id-ID"/>
        </w:rPr>
        <w:t xml:space="preserve"> </w:t>
      </w:r>
      <w:r w:rsidRPr="0082185A">
        <w:rPr>
          <w:lang w:val="en" w:eastAsia="id-ID"/>
        </w:rPr>
        <w:t>PT Bank Mualat Indonesia</w:t>
      </w:r>
      <w:r w:rsidRPr="0082185A">
        <w:rPr>
          <w:i/>
          <w:lang w:val="en" w:eastAsia="id-ID"/>
        </w:rPr>
        <w:t xml:space="preserve"> is the first syariah bank in Indonesia which was established and operated in 1992 then</w:t>
      </w:r>
      <w:r>
        <w:rPr>
          <w:i/>
          <w:lang w:val="en" w:eastAsia="id-ID"/>
        </w:rPr>
        <w:t xml:space="preserve"> followed by other sharia bank.</w:t>
      </w:r>
      <w:r>
        <w:rPr>
          <w:i/>
          <w:lang w:eastAsia="id-ID"/>
        </w:rPr>
        <w:t xml:space="preserve"> </w:t>
      </w:r>
      <w:r w:rsidRPr="0082185A">
        <w:rPr>
          <w:lang w:val="en" w:eastAsia="id-ID"/>
        </w:rPr>
        <w:t>PT Bank Muamalat Indonesia</w:t>
      </w:r>
      <w:r w:rsidRPr="0082185A">
        <w:rPr>
          <w:i/>
          <w:lang w:val="en" w:eastAsia="id-ID"/>
        </w:rPr>
        <w:t xml:space="preserve"> was born from the work of the banking team of the </w:t>
      </w:r>
      <w:r>
        <w:rPr>
          <w:lang w:eastAsia="id-ID"/>
        </w:rPr>
        <w:t>Majelis Ulama Indonesia</w:t>
      </w:r>
      <w:r w:rsidRPr="0082185A">
        <w:rPr>
          <w:i/>
          <w:lang w:val="en" w:eastAsia="id-ID"/>
        </w:rPr>
        <w:t xml:space="preserve"> </w:t>
      </w:r>
      <w:r w:rsidRPr="00864018">
        <w:rPr>
          <w:lang w:val="en" w:eastAsia="id-ID"/>
        </w:rPr>
        <w:t>(MUI),</w:t>
      </w:r>
      <w:r w:rsidRPr="0082185A">
        <w:rPr>
          <w:i/>
          <w:lang w:val="en" w:eastAsia="id-ID"/>
        </w:rPr>
        <w:t xml:space="preserve"> which on November 1, 1991 sign</w:t>
      </w:r>
      <w:r>
        <w:rPr>
          <w:i/>
          <w:lang w:val="en" w:eastAsia="id-ID"/>
        </w:rPr>
        <w:t>ed the deed of establishment of</w:t>
      </w:r>
      <w:r>
        <w:rPr>
          <w:i/>
          <w:lang w:eastAsia="id-ID"/>
        </w:rPr>
        <w:t xml:space="preserve"> </w:t>
      </w:r>
      <w:r w:rsidRPr="0082185A">
        <w:rPr>
          <w:lang w:val="en" w:eastAsia="id-ID"/>
        </w:rPr>
        <w:t>PT Bank Muamalat Indonesia</w:t>
      </w:r>
      <w:r w:rsidRPr="0082185A">
        <w:rPr>
          <w:i/>
          <w:lang w:val="en" w:eastAsia="id-ID"/>
        </w:rPr>
        <w:t>,</w:t>
      </w:r>
      <w:r w:rsidRPr="0082185A">
        <w:rPr>
          <w:i/>
          <w:lang w:eastAsia="id-ID"/>
        </w:rPr>
        <w:t xml:space="preserve"> </w:t>
      </w:r>
      <w:r w:rsidRPr="0082185A">
        <w:rPr>
          <w:i/>
          <w:lang w:val="en" w:eastAsia="id-ID"/>
        </w:rPr>
        <w:t xml:space="preserve">collected the purchase of shares of </w:t>
      </w:r>
      <w:r>
        <w:rPr>
          <w:i/>
          <w:lang w:val="id-ID" w:eastAsia="id-ID"/>
        </w:rPr>
        <w:t xml:space="preserve">     </w:t>
      </w:r>
      <w:r>
        <w:rPr>
          <w:i/>
          <w:lang w:val="en" w:eastAsia="id-ID"/>
        </w:rPr>
        <w:t>Rp.</w:t>
      </w:r>
      <w:r w:rsidRPr="0082185A">
        <w:rPr>
          <w:i/>
          <w:lang w:val="en" w:eastAsia="id-ID"/>
        </w:rPr>
        <w:t>84 billion. The established sharia bank is a financial services banking institution operating on the basis of Islamic ethics and value systems, especially those free of interest (riba), free from speculative non-productive activities such as gambling (maysir), free from unclear and dubious matters (gharar), based on justice principles, and only finance halal business activities.</w:t>
      </w:r>
      <w:r w:rsidRPr="0082185A">
        <w:rPr>
          <w:i/>
          <w:lang w:eastAsia="id-ID"/>
        </w:rPr>
        <w:t xml:space="preserve"> T</w:t>
      </w:r>
      <w:r w:rsidRPr="0082185A">
        <w:rPr>
          <w:i/>
          <w:lang w:val="en" w:eastAsia="id-ID"/>
        </w:rPr>
        <w:t xml:space="preserve">he institutional sector from 2007 to 2017 when viewed from the </w:t>
      </w:r>
      <w:r w:rsidRPr="0082185A">
        <w:rPr>
          <w:lang w:val="en" w:eastAsia="id-ID"/>
        </w:rPr>
        <w:t>BUS</w:t>
      </w:r>
      <w:r w:rsidRPr="0082185A">
        <w:rPr>
          <w:rStyle w:val="Hyperlink"/>
          <w:i/>
        </w:rPr>
        <w:t xml:space="preserve"> </w:t>
      </w:r>
      <w:r w:rsidRPr="00872F7B">
        <w:rPr>
          <w:rStyle w:val="Hyperlink"/>
          <w:i/>
          <w:color w:val="000000"/>
        </w:rPr>
        <w:t>(</w:t>
      </w:r>
      <w:r w:rsidRPr="00872F7B">
        <w:rPr>
          <w:bCs/>
          <w:i/>
          <w:color w:val="000000"/>
          <w:lang w:eastAsia="id-ID"/>
        </w:rPr>
        <w:t>Islamic Commercial Bank)</w:t>
      </w:r>
      <w:r w:rsidRPr="0082185A">
        <w:rPr>
          <w:i/>
          <w:lang w:eastAsia="id-ID"/>
        </w:rPr>
        <w:t xml:space="preserve"> </w:t>
      </w:r>
      <w:r w:rsidRPr="0082185A">
        <w:rPr>
          <w:i/>
          <w:lang w:val="en" w:eastAsia="id-ID"/>
        </w:rPr>
        <w:t xml:space="preserve">has increased although the increase is not too high, while the </w:t>
      </w:r>
      <w:r w:rsidRPr="0082185A">
        <w:rPr>
          <w:lang w:val="en" w:eastAsia="id-ID"/>
        </w:rPr>
        <w:t>USS</w:t>
      </w:r>
      <w:r w:rsidRPr="0082185A">
        <w:rPr>
          <w:lang w:eastAsia="id-ID"/>
        </w:rPr>
        <w:t xml:space="preserve"> </w:t>
      </w:r>
      <w:r w:rsidRPr="0082185A">
        <w:rPr>
          <w:bCs/>
          <w:i/>
          <w:color w:val="000000"/>
          <w:lang w:eastAsia="id-ID"/>
        </w:rPr>
        <w:t>(Islamic Business Unit of a Conventional Bank)</w:t>
      </w:r>
      <w:r w:rsidRPr="0082185A">
        <w:rPr>
          <w:i/>
          <w:lang w:eastAsia="id-ID"/>
        </w:rPr>
        <w:t xml:space="preserve"> </w:t>
      </w:r>
      <w:r w:rsidRPr="0082185A">
        <w:rPr>
          <w:i/>
          <w:lang w:val="en" w:eastAsia="id-ID"/>
        </w:rPr>
        <w:t xml:space="preserve">has fluctuated, the </w:t>
      </w:r>
      <w:r w:rsidRPr="0082185A">
        <w:rPr>
          <w:i/>
          <w:lang w:eastAsia="id-ID"/>
        </w:rPr>
        <w:t xml:space="preserve">amouth </w:t>
      </w:r>
      <w:r w:rsidRPr="0082185A">
        <w:rPr>
          <w:i/>
          <w:lang w:val="en" w:eastAsia="id-ID"/>
        </w:rPr>
        <w:t xml:space="preserve">of </w:t>
      </w:r>
      <w:r w:rsidRPr="0082185A">
        <w:rPr>
          <w:lang w:val="en" w:eastAsia="id-ID"/>
        </w:rPr>
        <w:t>BPRS</w:t>
      </w:r>
      <w:r w:rsidRPr="0082185A">
        <w:rPr>
          <w:i/>
          <w:lang w:eastAsia="id-ID"/>
        </w:rPr>
        <w:t xml:space="preserve"> (</w:t>
      </w:r>
      <w:r w:rsidRPr="0082185A">
        <w:rPr>
          <w:bCs/>
          <w:i/>
          <w:color w:val="000000"/>
          <w:lang w:eastAsia="id-ID"/>
        </w:rPr>
        <w:t>Islamic Rural Bank)</w:t>
      </w:r>
      <w:r w:rsidRPr="0082185A">
        <w:rPr>
          <w:i/>
          <w:lang w:eastAsia="id-ID"/>
        </w:rPr>
        <w:t xml:space="preserve"> </w:t>
      </w:r>
      <w:r w:rsidRPr="0082185A">
        <w:rPr>
          <w:i/>
          <w:lang w:val="en" w:eastAsia="id-ID"/>
        </w:rPr>
        <w:t xml:space="preserve">has increased very well, growth the </w:t>
      </w:r>
      <w:r w:rsidRPr="0082185A">
        <w:rPr>
          <w:i/>
          <w:lang w:eastAsia="id-ID"/>
        </w:rPr>
        <w:t>amouth</w:t>
      </w:r>
      <w:r w:rsidRPr="0082185A">
        <w:rPr>
          <w:i/>
          <w:lang w:val="en" w:eastAsia="id-ID"/>
        </w:rPr>
        <w:t xml:space="preserve"> of sharia banking office network also fluctuated. The development and growth of total assets, </w:t>
      </w:r>
      <w:r w:rsidRPr="0082185A">
        <w:rPr>
          <w:lang w:val="en" w:eastAsia="id-ID"/>
        </w:rPr>
        <w:t>DPK</w:t>
      </w:r>
      <w:r w:rsidRPr="0082185A">
        <w:rPr>
          <w:i/>
          <w:lang w:eastAsia="id-ID"/>
        </w:rPr>
        <w:t xml:space="preserve"> (</w:t>
      </w:r>
      <w:r w:rsidRPr="0082185A">
        <w:rPr>
          <w:bCs/>
          <w:i/>
          <w:color w:val="000000"/>
          <w:lang w:eastAsia="id-ID"/>
        </w:rPr>
        <w:t>Depositor Funds)</w:t>
      </w:r>
      <w:r w:rsidRPr="0082185A">
        <w:rPr>
          <w:i/>
          <w:lang w:val="en" w:eastAsia="id-ID"/>
        </w:rPr>
        <w:t xml:space="preserve">, and the amount of </w:t>
      </w:r>
      <w:r w:rsidRPr="0082185A">
        <w:rPr>
          <w:lang w:val="en" w:eastAsia="id-ID"/>
        </w:rPr>
        <w:t>PYD</w:t>
      </w:r>
      <w:r w:rsidRPr="0082185A">
        <w:rPr>
          <w:i/>
          <w:lang w:val="en" w:eastAsia="id-ID"/>
        </w:rPr>
        <w:t xml:space="preserve"> (Financing) has always increased from 2007 to 2017. </w:t>
      </w:r>
      <w:r>
        <w:rPr>
          <w:i/>
          <w:lang w:val="id-ID" w:eastAsia="id-ID"/>
        </w:rPr>
        <w:t xml:space="preserve">     </w:t>
      </w:r>
      <w:r w:rsidRPr="0082185A">
        <w:rPr>
          <w:i/>
          <w:lang w:val="en" w:eastAsia="id-ID"/>
        </w:rPr>
        <w:t>So that Islamic banks become a good banking model and is ideal in advancing the nation's economy.</w:t>
      </w:r>
    </w:p>
    <w:p w:rsidR="00BC2C9E" w:rsidRPr="00BC2C9E" w:rsidRDefault="00BC2C9E" w:rsidP="00BC2C9E">
      <w:pPr>
        <w:spacing w:line="360" w:lineRule="auto"/>
        <w:ind w:firstLine="720"/>
        <w:jc w:val="both"/>
        <w:rPr>
          <w:b/>
          <w:bCs/>
          <w:i/>
          <w:iCs/>
          <w:color w:val="000000"/>
          <w:lang w:val="id-ID"/>
        </w:rPr>
      </w:pPr>
    </w:p>
    <w:p w:rsidR="00BC2C9E" w:rsidRDefault="00BC2C9E" w:rsidP="00BC2C9E">
      <w:pPr>
        <w:spacing w:line="360" w:lineRule="auto"/>
        <w:jc w:val="both"/>
        <w:rPr>
          <w:lang w:val="id-ID" w:eastAsia="id-ID"/>
        </w:rPr>
      </w:pPr>
      <w:r w:rsidRPr="0082185A">
        <w:rPr>
          <w:b/>
          <w:i/>
          <w:lang w:val="en" w:eastAsia="id-ID"/>
        </w:rPr>
        <w:t>Keywords</w:t>
      </w:r>
      <w:r w:rsidRPr="0082185A">
        <w:rPr>
          <w:i/>
          <w:lang w:val="en" w:eastAsia="id-ID"/>
        </w:rPr>
        <w:t xml:space="preserve">: </w:t>
      </w:r>
      <w:r w:rsidRPr="0082185A">
        <w:rPr>
          <w:i/>
          <w:lang w:eastAsia="id-ID"/>
        </w:rPr>
        <w:t>Islamic Banking Statistics</w:t>
      </w:r>
      <w:r>
        <w:rPr>
          <w:i/>
          <w:lang w:val="en" w:eastAsia="id-ID"/>
        </w:rPr>
        <w:t>, Development</w:t>
      </w:r>
      <w:r>
        <w:rPr>
          <w:i/>
          <w:lang w:eastAsia="id-ID"/>
        </w:rPr>
        <w:t xml:space="preserve">, </w:t>
      </w:r>
      <w:r w:rsidRPr="0082185A">
        <w:rPr>
          <w:i/>
          <w:lang w:val="en" w:eastAsia="id-ID"/>
        </w:rPr>
        <w:t>Growth</w:t>
      </w:r>
      <w:r w:rsidRPr="00A84741">
        <w:rPr>
          <w:lang w:val="en" w:eastAsia="id-ID"/>
        </w:rPr>
        <w:t>, Indonesia</w:t>
      </w:r>
    </w:p>
    <w:p w:rsidR="00BC2C9E" w:rsidRPr="00BC2C9E" w:rsidRDefault="00BC2C9E" w:rsidP="00BC2C9E">
      <w:pPr>
        <w:spacing w:line="360" w:lineRule="auto"/>
        <w:jc w:val="both"/>
        <w:rPr>
          <w:lang w:val="id-ID" w:eastAsia="id-ID"/>
        </w:rPr>
      </w:pPr>
    </w:p>
    <w:p w:rsidR="00BC2C9E" w:rsidRDefault="00BC2C9E" w:rsidP="00E25A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121"/>
          <w:lang w:eastAsia="id-ID"/>
        </w:rPr>
      </w:pPr>
      <w:r w:rsidRPr="007C603B">
        <w:rPr>
          <w:b/>
          <w:color w:val="212121"/>
          <w:lang w:eastAsia="id-ID"/>
        </w:rPr>
        <w:t>Abstrak</w:t>
      </w:r>
    </w:p>
    <w:p w:rsidR="00BC2C9E" w:rsidRPr="00EE23CB" w:rsidRDefault="00BC2C9E" w:rsidP="00E25A1B">
      <w:pPr>
        <w:shd w:val="clear" w:color="auto" w:fill="FFFFFF"/>
        <w:tabs>
          <w:tab w:val="left" w:pos="10992"/>
          <w:tab w:val="left" w:pos="11908"/>
          <w:tab w:val="left" w:pos="12824"/>
          <w:tab w:val="left" w:pos="13740"/>
          <w:tab w:val="left" w:pos="14656"/>
        </w:tabs>
        <w:ind w:firstLine="709"/>
        <w:jc w:val="both"/>
        <w:rPr>
          <w:color w:val="212121"/>
          <w:lang w:eastAsia="id-ID"/>
        </w:rPr>
      </w:pPr>
      <w:proofErr w:type="gramStart"/>
      <w:r>
        <w:rPr>
          <w:color w:val="212121"/>
          <w:lang w:eastAsia="id-ID"/>
        </w:rPr>
        <w:t xml:space="preserve">Populasi </w:t>
      </w:r>
      <w:r w:rsidRPr="00161CF0">
        <w:rPr>
          <w:color w:val="212121"/>
          <w:lang w:eastAsia="id-ID"/>
        </w:rPr>
        <w:t xml:space="preserve">Islam terbanyak di dunia adalah negara Indonesia dimana jumlah penduduk yang beragama Islam mencapai </w:t>
      </w:r>
      <w:r>
        <w:rPr>
          <w:rFonts w:ascii="TimesNewRomanPSMT" w:hAnsi="TimesNewRomanPSMT"/>
          <w:color w:val="000000"/>
        </w:rPr>
        <w:t xml:space="preserve">204.000.000 </w:t>
      </w:r>
      <w:r w:rsidRPr="00CD04D8">
        <w:rPr>
          <w:rFonts w:ascii="TimesNewRomanPSMT" w:hAnsi="TimesNewRomanPSMT"/>
          <w:color w:val="000000"/>
        </w:rPr>
        <w:t>jiwa</w:t>
      </w:r>
      <w:r>
        <w:rPr>
          <w:rFonts w:ascii="TimesNewRomanPSMT" w:hAnsi="TimesNewRomanPSMT"/>
          <w:color w:val="000000"/>
        </w:rPr>
        <w:t>.</w:t>
      </w:r>
      <w:proofErr w:type="gramEnd"/>
      <w:r>
        <w:rPr>
          <w:rFonts w:ascii="TimesNewRomanPSMT" w:hAnsi="TimesNewRomanPSMT"/>
          <w:color w:val="000000"/>
        </w:rPr>
        <w:t xml:space="preserve"> </w:t>
      </w:r>
      <w:proofErr w:type="gramStart"/>
      <w:r>
        <w:rPr>
          <w:rFonts w:ascii="TimesNewRomanPSMT" w:hAnsi="TimesNewRomanPSMT"/>
          <w:color w:val="000000"/>
        </w:rPr>
        <w:t>Jumlah agama Islam yang tergolong banyak di Indonesia ini, memiliki suatu potensi sehingga memicu terhadap perkembangan dan pertumbuhan bank syariah.</w:t>
      </w:r>
      <w:proofErr w:type="gramEnd"/>
      <w:r>
        <w:rPr>
          <w:rFonts w:ascii="TimesNewRomanPSMT" w:hAnsi="TimesNewRomanPSMT"/>
          <w:color w:val="000000"/>
        </w:rPr>
        <w:t xml:space="preserve"> </w:t>
      </w:r>
      <w:proofErr w:type="gramStart"/>
      <w:r>
        <w:rPr>
          <w:rFonts w:ascii="TimesNewRomanPSMT" w:hAnsi="TimesNewRomanPSMT"/>
          <w:color w:val="000000"/>
        </w:rPr>
        <w:t>Perhatian dan dukungan pemerintah terhadap perbankan syariah diperkuat adanya</w:t>
      </w:r>
      <w:r>
        <w:rPr>
          <w:color w:val="212121"/>
          <w:lang w:eastAsia="id-ID"/>
        </w:rPr>
        <w:t xml:space="preserve"> </w:t>
      </w:r>
      <w:r w:rsidRPr="001130E4">
        <w:rPr>
          <w:color w:val="000000"/>
        </w:rPr>
        <w:t xml:space="preserve">kebijakan </w:t>
      </w:r>
      <w:r>
        <w:rPr>
          <w:color w:val="000000"/>
        </w:rPr>
        <w:t>dengan</w:t>
      </w:r>
      <w:r w:rsidRPr="001130E4">
        <w:rPr>
          <w:color w:val="000000"/>
        </w:rPr>
        <w:t xml:space="preserve"> dikeluarkan ny</w:t>
      </w:r>
      <w:r>
        <w:rPr>
          <w:color w:val="000000"/>
        </w:rPr>
        <w:t>a undang-undang perbankan syariah.</w:t>
      </w:r>
      <w:proofErr w:type="gramEnd"/>
      <w:r>
        <w:rPr>
          <w:color w:val="000000"/>
        </w:rPr>
        <w:t xml:space="preserve"> PT Bank Mualat Indonesia merupakan bank syariah pertama di Indonesia yang didirikan dan beroperasi pada tahun 1992 kemudian disusul adanya bank syariah yang lain. </w:t>
      </w:r>
      <w:r w:rsidRPr="001130E4">
        <w:rPr>
          <w:color w:val="000000"/>
          <w:lang w:eastAsia="id-ID"/>
        </w:rPr>
        <w:t>PT Bank Muamalat Indonesia lahir dari kerja tim perbankan Majelis Ulama Indonesi</w:t>
      </w:r>
      <w:r>
        <w:rPr>
          <w:color w:val="000000"/>
          <w:lang w:eastAsia="id-ID"/>
        </w:rPr>
        <w:t xml:space="preserve">a (MUI), yang mana pada tanggal 1 </w:t>
      </w:r>
      <w:r w:rsidRPr="001130E4">
        <w:rPr>
          <w:color w:val="000000"/>
          <w:lang w:eastAsia="id-ID"/>
        </w:rPr>
        <w:t>November 1991 di</w:t>
      </w:r>
      <w:r>
        <w:rPr>
          <w:color w:val="000000"/>
          <w:lang w:eastAsia="id-ID"/>
        </w:rPr>
        <w:t>tanda tanganilah akte pendirian</w:t>
      </w:r>
      <w:r>
        <w:rPr>
          <w:color w:val="000000"/>
          <w:lang w:val="id-ID" w:eastAsia="id-ID"/>
        </w:rPr>
        <w:t xml:space="preserve"> </w:t>
      </w:r>
      <w:r w:rsidRPr="001130E4">
        <w:rPr>
          <w:color w:val="000000"/>
          <w:lang w:eastAsia="id-ID"/>
        </w:rPr>
        <w:t>PT Bank Muamalat Indonesia, terkumpul pembel</w:t>
      </w:r>
      <w:r>
        <w:rPr>
          <w:color w:val="000000"/>
          <w:lang w:eastAsia="id-ID"/>
        </w:rPr>
        <w:t xml:space="preserve">ian saham sebesar Rp.84 miliar. </w:t>
      </w:r>
      <w:proofErr w:type="gramStart"/>
      <w:r w:rsidRPr="001130E4">
        <w:t xml:space="preserve">Bank syariah </w:t>
      </w:r>
      <w:r>
        <w:t xml:space="preserve">yang dibentuk </w:t>
      </w:r>
      <w:r w:rsidRPr="001130E4">
        <w:t xml:space="preserve">merupakan lembaga perbankan penyedia jasa keuangan yang beroperasi berdasarkan etika dan sistem nilai Islam, khususnya yang bebas dari bunga </w:t>
      </w:r>
      <w:r w:rsidRPr="001130E4">
        <w:lastRenderedPageBreak/>
        <w:t>(</w:t>
      </w:r>
      <w:r w:rsidRPr="001130E4">
        <w:rPr>
          <w:i/>
          <w:iCs/>
        </w:rPr>
        <w:t>riba</w:t>
      </w:r>
      <w:r w:rsidRPr="001130E4">
        <w:t>), bebas dari kegiatan spekulatif yang nonproduktif seperti perjudian (</w:t>
      </w:r>
      <w:r w:rsidRPr="001130E4">
        <w:rPr>
          <w:i/>
          <w:iCs/>
        </w:rPr>
        <w:t>maysir</w:t>
      </w:r>
      <w:r w:rsidRPr="001130E4">
        <w:t>), bebas dari hal-hal yang tidak jelas dan meragukan (</w:t>
      </w:r>
      <w:r w:rsidRPr="001130E4">
        <w:rPr>
          <w:i/>
          <w:iCs/>
        </w:rPr>
        <w:t>gharar</w:t>
      </w:r>
      <w:r w:rsidRPr="001130E4">
        <w:t>), berprinsip keadilan, dan hanya membiayai kegiatan usaha yang halal.</w:t>
      </w:r>
      <w:proofErr w:type="gramEnd"/>
      <w:r w:rsidRPr="001130E4">
        <w:t xml:space="preserve"> </w:t>
      </w:r>
      <w:r w:rsidRPr="00872F7B">
        <w:rPr>
          <w:color w:val="000000"/>
          <w:lang w:eastAsia="id-ID"/>
        </w:rPr>
        <w:t xml:space="preserve">Dari sektor kelembagaannya mulai tahun 2007 sampai 2017 </w:t>
      </w:r>
      <w:r w:rsidRPr="00872F7B">
        <w:rPr>
          <w:color w:val="000000"/>
        </w:rPr>
        <w:t xml:space="preserve">apabila dilihat dari BUS (Bank Umum Syariah) mengalami peningkatan walaupun peningkatannya tidak terlalu tinggi, </w:t>
      </w:r>
      <w:r>
        <w:rPr>
          <w:color w:val="212121"/>
          <w:lang w:eastAsia="id-ID"/>
        </w:rPr>
        <w:t>s</w:t>
      </w:r>
      <w:r w:rsidRPr="00FF5AA1">
        <w:rPr>
          <w:color w:val="212121"/>
          <w:lang w:eastAsia="id-ID"/>
        </w:rPr>
        <w:t>edangkan USS (Unit Usaha Syariah) mengalami fluktuasi</w:t>
      </w:r>
      <w:r>
        <w:rPr>
          <w:color w:val="212121"/>
          <w:lang w:eastAsia="id-ID"/>
        </w:rPr>
        <w:t>, j</w:t>
      </w:r>
      <w:r w:rsidRPr="00FF5AA1">
        <w:rPr>
          <w:color w:val="212121"/>
          <w:lang w:eastAsia="id-ID"/>
        </w:rPr>
        <w:t>umlah BPRS (Bank Pembiayaan Rakyat Syariah) mengalami peningkatan yang sangat baik</w:t>
      </w:r>
      <w:r>
        <w:rPr>
          <w:color w:val="212121"/>
          <w:lang w:eastAsia="id-ID"/>
        </w:rPr>
        <w:t xml:space="preserve">, </w:t>
      </w:r>
      <w:r w:rsidRPr="00FF5AA1">
        <w:rPr>
          <w:bCs/>
          <w:color w:val="212121"/>
          <w:lang w:eastAsia="id-ID"/>
        </w:rPr>
        <w:t xml:space="preserve">pertumbuhan jumlah jaringan kantor perbankan syariah </w:t>
      </w:r>
      <w:r>
        <w:rPr>
          <w:color w:val="212121"/>
          <w:lang w:eastAsia="id-ID"/>
        </w:rPr>
        <w:t xml:space="preserve">juga mengalami </w:t>
      </w:r>
      <w:r w:rsidRPr="00FF5AA1">
        <w:rPr>
          <w:bCs/>
          <w:color w:val="212121"/>
          <w:lang w:eastAsia="id-ID"/>
        </w:rPr>
        <w:t>fluktuasi</w:t>
      </w:r>
      <w:r>
        <w:rPr>
          <w:color w:val="212121"/>
          <w:lang w:eastAsia="id-ID"/>
        </w:rPr>
        <w:t xml:space="preserve">. </w:t>
      </w:r>
      <w:proofErr w:type="gramStart"/>
      <w:r>
        <w:rPr>
          <w:rFonts w:ascii="TimesNewRomanPSMT" w:hAnsi="TimesNewRomanPSMT"/>
          <w:color w:val="000000"/>
        </w:rPr>
        <w:t>P</w:t>
      </w:r>
      <w:r w:rsidRPr="001E45E0">
        <w:rPr>
          <w:rFonts w:ascii="TimesNewRomanPSMT" w:hAnsi="TimesNewRomanPSMT"/>
          <w:color w:val="000000"/>
        </w:rPr>
        <w:t xml:space="preserve">erkembangan dan pertumbuhan </w:t>
      </w:r>
      <w:r w:rsidRPr="001E45E0">
        <w:rPr>
          <w:rFonts w:ascii="TimesNewRomanPSMT" w:hAnsi="TimesNewRomanPSMT"/>
          <w:bCs/>
          <w:color w:val="000000"/>
        </w:rPr>
        <w:t>jumlah aset, DPK (Dana Pihak Ketiga), dan jumlah PYD (Pembiayaan yang Disalurkan) selalu meningkat dari tahun 2007 sampai 2017.</w:t>
      </w:r>
      <w:proofErr w:type="gramEnd"/>
      <w:r w:rsidRPr="001E45E0">
        <w:rPr>
          <w:rFonts w:ascii="TimesNewRomanPSMT" w:hAnsi="TimesNewRomanPSMT"/>
          <w:bCs/>
          <w:color w:val="000000"/>
        </w:rPr>
        <w:t xml:space="preserve"> </w:t>
      </w:r>
      <w:proofErr w:type="gramStart"/>
      <w:r w:rsidRPr="001E45E0">
        <w:rPr>
          <w:rFonts w:ascii="TimesNewRomanPSMT" w:hAnsi="TimesNewRomanPSMT"/>
          <w:bCs/>
          <w:color w:val="000000"/>
        </w:rPr>
        <w:t>Sehingga bank syariah menjadi suatu model perbankan yang baik dan sangat ideal dalam memajukan perekonomian bangsa</w:t>
      </w:r>
      <w:r>
        <w:rPr>
          <w:rFonts w:ascii="TimesNewRomanPSMT" w:hAnsi="TimesNewRomanPSMT"/>
          <w:bCs/>
          <w:color w:val="000000"/>
        </w:rPr>
        <w:t>.</w:t>
      </w:r>
      <w:proofErr w:type="gramEnd"/>
    </w:p>
    <w:p w:rsidR="00BC2C9E" w:rsidRDefault="00BC2C9E" w:rsidP="00BC2C9E">
      <w:pPr>
        <w:spacing w:line="360" w:lineRule="auto"/>
        <w:jc w:val="both"/>
        <w:rPr>
          <w:lang w:eastAsia="en-GB"/>
        </w:rPr>
      </w:pPr>
    </w:p>
    <w:p w:rsidR="00BC2C9E" w:rsidRDefault="00BC2C9E" w:rsidP="00BC2C9E">
      <w:pPr>
        <w:pStyle w:val="HTMLPreformatted"/>
        <w:shd w:val="clear" w:color="auto" w:fill="FFFFFF"/>
        <w:spacing w:line="360" w:lineRule="auto"/>
        <w:jc w:val="both"/>
        <w:rPr>
          <w:rFonts w:ascii="Times New Roman" w:hAnsi="Times New Roman" w:cs="Times New Roman"/>
          <w:sz w:val="24"/>
          <w:szCs w:val="24"/>
        </w:rPr>
      </w:pPr>
      <w:r w:rsidRPr="00E72022">
        <w:rPr>
          <w:rFonts w:ascii="Times New Roman" w:hAnsi="Times New Roman" w:cs="Times New Roman"/>
          <w:b/>
          <w:sz w:val="24"/>
          <w:szCs w:val="24"/>
        </w:rPr>
        <w:t>Kata kunci:</w:t>
      </w:r>
      <w:r w:rsidRPr="00E72022">
        <w:rPr>
          <w:rFonts w:ascii="Times New Roman" w:hAnsi="Times New Roman" w:cs="Times New Roman"/>
          <w:sz w:val="24"/>
          <w:szCs w:val="24"/>
        </w:rPr>
        <w:t xml:space="preserve"> </w:t>
      </w:r>
      <w:r>
        <w:rPr>
          <w:rFonts w:ascii="Times New Roman" w:hAnsi="Times New Roman" w:cs="Times New Roman"/>
          <w:sz w:val="24"/>
          <w:szCs w:val="24"/>
        </w:rPr>
        <w:t>Statistik Perbankan Syariah, Perkembangan, Pertumbuhan, Indonesia</w:t>
      </w:r>
    </w:p>
    <w:p w:rsidR="0021420B" w:rsidRPr="00BC2C9E" w:rsidRDefault="0021420B" w:rsidP="00BC2C9E">
      <w:pPr>
        <w:rPr>
          <w:b/>
          <w:bCs/>
          <w:iCs/>
          <w:color w:val="000000"/>
          <w:lang w:val="id-ID"/>
        </w:rPr>
      </w:pPr>
    </w:p>
    <w:p w:rsidR="00BC2C9E" w:rsidRDefault="00BC2C9E" w:rsidP="00FA5412">
      <w:pPr>
        <w:jc w:val="center"/>
        <w:rPr>
          <w:b/>
          <w:bCs/>
          <w:i/>
          <w:iCs/>
          <w:color w:val="000000"/>
          <w:lang w:val="id-ID"/>
        </w:rPr>
      </w:pPr>
    </w:p>
    <w:p w:rsidR="00BC2C9E" w:rsidRPr="003D52D7" w:rsidRDefault="00E25A1B" w:rsidP="00E25A1B">
      <w:pPr>
        <w:spacing w:line="360" w:lineRule="auto"/>
        <w:rPr>
          <w:b/>
          <w:bCs/>
        </w:rPr>
      </w:pPr>
      <w:r w:rsidRPr="003D52D7">
        <w:rPr>
          <w:b/>
          <w:bCs/>
        </w:rPr>
        <w:t>Pendahuluan</w:t>
      </w:r>
    </w:p>
    <w:p w:rsidR="00BC2C9E" w:rsidRDefault="00BC2C9E" w:rsidP="00E25A1B">
      <w:pPr>
        <w:spacing w:line="360" w:lineRule="auto"/>
        <w:ind w:firstLine="720"/>
        <w:jc w:val="both"/>
        <w:rPr>
          <w:bCs/>
        </w:rPr>
      </w:pPr>
      <w:proofErr w:type="gramStart"/>
      <w:r w:rsidRPr="00C728E9">
        <w:rPr>
          <w:bCs/>
        </w:rPr>
        <w:t>Aktivitas dalam bidang seni perekonomian sudah ada sejak zaman Rasulullah SAW dan banyak permasalahan bidang ekonomi yang dihadapi oleh manusia, sehingga banyak pakar ekonomi berpikir bagaimana merubah ilmu ekonomi menjadi ilmu ekonomi seperti sekarang ini.</w:t>
      </w:r>
      <w:proofErr w:type="gramEnd"/>
      <w:r w:rsidRPr="00C728E9">
        <w:rPr>
          <w:bCs/>
        </w:rPr>
        <w:t xml:space="preserve"> </w:t>
      </w:r>
      <w:proofErr w:type="gramStart"/>
      <w:r w:rsidRPr="00C728E9">
        <w:rPr>
          <w:bCs/>
        </w:rPr>
        <w:t>Cabang ilmu ekonomi yang terus berkembang sesuai dengan perkembangan peradaban manusia adalah dalam bidang perbankan.</w:t>
      </w:r>
      <w:proofErr w:type="gramEnd"/>
      <w:r w:rsidRPr="00C728E9">
        <w:rPr>
          <w:bCs/>
        </w:rPr>
        <w:t xml:space="preserve"> </w:t>
      </w:r>
      <w:proofErr w:type="gramStart"/>
      <w:r w:rsidRPr="00C728E9">
        <w:rPr>
          <w:bCs/>
        </w:rPr>
        <w:t>Ekonomi konvensional memang masih jauh lebih unggul dibandingkan dengan ekonomi syariah tetapi seiring dengan kemajuan zaman banyak didirikan lembaga syariah yang semakin berkembang dan tumbuh.</w:t>
      </w:r>
      <w:proofErr w:type="gramEnd"/>
      <w:r w:rsidRPr="00C728E9">
        <w:rPr>
          <w:bCs/>
        </w:rPr>
        <w:t xml:space="preserve"> </w:t>
      </w:r>
      <w:r>
        <w:rPr>
          <w:bCs/>
        </w:rPr>
        <w:t>Dal</w:t>
      </w:r>
      <w:r w:rsidR="00E25A1B">
        <w:rPr>
          <w:bCs/>
        </w:rPr>
        <w:t>am penelitian yang ditulis oleh</w:t>
      </w:r>
      <w:r w:rsidR="00F9333A">
        <w:rPr>
          <w:bCs/>
          <w:lang w:val="id-ID"/>
        </w:rPr>
        <w:t xml:space="preserve"> </w:t>
      </w:r>
      <w:r w:rsidR="00F9333A">
        <w:rPr>
          <w:bCs/>
          <w:lang w:val="id-ID"/>
        </w:rPr>
        <w:fldChar w:fldCharType="begin" w:fldLock="1"/>
      </w:r>
      <w:r w:rsidR="00AD31BA">
        <w:rPr>
          <w:bCs/>
          <w:lang w:val="id-ID"/>
        </w:rPr>
        <w:instrText>ADDIN CSL_CITATION { "citationItems" : [ { "id" : "ITEM-1", "itemData" : { "abstract" : "This study aims to find out about the development of Islamic banks in Indonesia. This research is qualitative descriptive. This study included literature to examine the written sources such as scientific journals, books referesni, literature, encyclopedias, scientific articles, scientific papers and other sources that are relevant and related to the object being studied. As for the object of study of this research is in the form of texts or writings that describe and explain about the development of Islamic banks in Indonesia. Results from this study is Indonesian banking now enlivened by the presence of Islamic banks, which offers financial products and investment in a different way than conventional banks, as Indonesia is the largest Muslim country in the world. The development of Islamic banking in Indonesia has become a benchmark for the success of the Islamic economic existence. Bank Muamalat as the first Islamic bank and a pioneer for other Islamic banks in Indonesia.", "author" : [ { "dropping-particle" : "", "family" : "Marimin", "given" : "Agus", "non-dropping-particle" : "", "parse-names" : false, "suffix" : "" }, { "dropping-particle" : "", "family" : "Romdhoni", "given" : "Abdul Haris", "non-dropping-particle" : "", "parse-names" : false, "suffix" : "" }, { "dropping-particle" : "", "family" : "Fitria", "given" : "Tira Nur", "non-dropping-particle" : "", "parse-names" : false, "suffix" : "" } ], "container-title" : "Jurnal Ilmiah Ekonomi Islam", "id" : "ITEM-1", "issue" : "2", "issued" : { "date-parts" : [ [ "2015" ] ] }, "page" : "75-87", "title" : "Perkembangan Bank Syariah di Indonesia", "type" : "article-journal", "volume" : "1" }, "uris" : [ "http://www.mendeley.com/documents/?uuid=bd739ad8-1f98-4450-ade3-50b427e60406" ] } ], "mendeley" : { "formattedCitation" : "(Marimin, Romdhoni, and Fitria 2015)", "manualFormatting" : "Marimin et al (2015)", "plainTextFormattedCitation" : "(Marimin, Romdhoni, and Fitria 2015)", "previouslyFormattedCitation" : "(Marimin, Romdhoni, and Fitria 2015)" }, "properties" : { "noteIndex" : 0 }, "schema" : "https://github.com/citation-style-language/schema/raw/master/csl-citation.json" }</w:instrText>
      </w:r>
      <w:r w:rsidR="00F9333A">
        <w:rPr>
          <w:bCs/>
          <w:lang w:val="id-ID"/>
        </w:rPr>
        <w:fldChar w:fldCharType="separate"/>
      </w:r>
      <w:r w:rsidR="00F9333A">
        <w:rPr>
          <w:bCs/>
          <w:noProof/>
          <w:lang w:val="id-ID"/>
        </w:rPr>
        <w:t>Marimin et al (2015</w:t>
      </w:r>
      <w:r w:rsidR="00F9333A" w:rsidRPr="00F9333A">
        <w:rPr>
          <w:bCs/>
          <w:noProof/>
          <w:lang w:val="id-ID"/>
        </w:rPr>
        <w:t>)</w:t>
      </w:r>
      <w:r w:rsidR="00F9333A">
        <w:rPr>
          <w:bCs/>
          <w:lang w:val="id-ID"/>
        </w:rPr>
        <w:fldChar w:fldCharType="end"/>
      </w:r>
      <w:r>
        <w:rPr>
          <w:bCs/>
        </w:rPr>
        <w:t xml:space="preserve"> menyatakan bahwa para pakar ekonomi </w:t>
      </w:r>
      <w:r w:rsidRPr="00C728E9">
        <w:rPr>
          <w:bCs/>
        </w:rPr>
        <w:t xml:space="preserve">memperkirakan dan memprediksikan </w:t>
      </w:r>
      <w:r>
        <w:rPr>
          <w:bCs/>
        </w:rPr>
        <w:t xml:space="preserve">yang mana </w:t>
      </w:r>
      <w:r w:rsidRPr="00C728E9">
        <w:rPr>
          <w:bCs/>
        </w:rPr>
        <w:t xml:space="preserve">ekonomi syariah akan mengalami perkembangan dan pertumbuhan yang maju dari ekonomi konvensional </w:t>
      </w:r>
    </w:p>
    <w:p w:rsidR="00BC2C9E" w:rsidRPr="00C728E9" w:rsidRDefault="00BC2C9E" w:rsidP="00E25A1B">
      <w:pPr>
        <w:spacing w:line="360" w:lineRule="auto"/>
        <w:ind w:firstLine="720"/>
        <w:jc w:val="both"/>
        <w:rPr>
          <w:bCs/>
        </w:rPr>
      </w:pPr>
      <w:proofErr w:type="gramStart"/>
      <w:r w:rsidRPr="00C728E9">
        <w:rPr>
          <w:bCs/>
        </w:rPr>
        <w:t>Kehidupan pada zaman Rasulullah SAW belum adanya institusi seperti perbankan namun dalam aktifitas perdagangan dan perekonomiannya sudah memberikan berpedoman untuk menerapkan prinsip, hukum serta filosofi kaidah ajaran Islam.</w:t>
      </w:r>
      <w:proofErr w:type="gramEnd"/>
      <w:r w:rsidRPr="00C728E9">
        <w:rPr>
          <w:bCs/>
        </w:rPr>
        <w:t xml:space="preserve"> </w:t>
      </w:r>
      <w:proofErr w:type="gramStart"/>
      <w:r w:rsidRPr="00C728E9">
        <w:rPr>
          <w:bCs/>
        </w:rPr>
        <w:t>Cara yang dilakukan dengan mengidentifikasi prinsip, hukum dan filosofi dasar dalam ajaran Islam dibidang ekonomi, dan kemudian mengidentifkasi semua hal yang dilarang hal ini dilakukan untuk menghadapi masalah-masalah muamalah kontemporer.</w:t>
      </w:r>
      <w:proofErr w:type="gramEnd"/>
      <w:r w:rsidRPr="00C728E9">
        <w:rPr>
          <w:bCs/>
        </w:rPr>
        <w:t xml:space="preserve"> </w:t>
      </w:r>
    </w:p>
    <w:p w:rsidR="00BC2C9E" w:rsidRPr="00AD2C19" w:rsidRDefault="00BC2C9E" w:rsidP="00E25A1B">
      <w:pPr>
        <w:spacing w:line="360" w:lineRule="auto"/>
        <w:ind w:firstLine="720"/>
        <w:jc w:val="both"/>
        <w:rPr>
          <w:bCs/>
          <w:lang w:val="id-ID"/>
        </w:rPr>
      </w:pPr>
      <w:r w:rsidRPr="00C728E9">
        <w:rPr>
          <w:bCs/>
        </w:rPr>
        <w:t>Karena untuk dapat melakukan suatu kreativitas dan inovasi (</w:t>
      </w:r>
      <w:r w:rsidRPr="007E377F">
        <w:rPr>
          <w:bCs/>
          <w:i/>
        </w:rPr>
        <w:t>ijtihad</w:t>
      </w:r>
      <w:r w:rsidRPr="00C728E9">
        <w:rPr>
          <w:bCs/>
        </w:rPr>
        <w:t>) dalam memecahkan masalah dan persoalan muamalah kontemporer termasuk dalam masalah dan persoalan perbankan maka yang harus dilakukan adalah mengidentifikasi semua yang dilarang sesuai dengan prinsip, hukum dan filosofi</w:t>
      </w:r>
      <w:r>
        <w:rPr>
          <w:bCs/>
        </w:rPr>
        <w:t xml:space="preserve"> ajaran islam dibidang ekonomi</w:t>
      </w:r>
      <w:r w:rsidR="00AD2C19">
        <w:rPr>
          <w:bCs/>
          <w:lang w:val="id-ID"/>
        </w:rPr>
        <w:t xml:space="preserve"> </w:t>
      </w:r>
      <w:r w:rsidR="00AD2C19">
        <w:rPr>
          <w:bCs/>
        </w:rPr>
        <w:fldChar w:fldCharType="begin" w:fldLock="1"/>
      </w:r>
      <w:r w:rsidR="00AD31BA">
        <w:rPr>
          <w:bCs/>
        </w:rPr>
        <w:instrText>ADDIN CSL_CITATION { "citationItems" : [ { "id" : "ITEM-1", "itemData" : { "abstract" : "This study aims to find out about the development of Islamic banks in Indonesia. This research is qualitative descriptive. This study included literature to examine the written sources such as scientific journals, books referesni, literature, encyclopedias, scientific articles, scientific papers and other sources that are relevant and related to the object being studied. As for the object of study of this research is in the form of texts or writings that describe and explain about the development of Islamic banks in Indonesia. Results from this study is Indonesian banking now enlivened by the presence of Islamic banks, which offers financial products and investment in a different way than conventional banks, as Indonesia is the largest Muslim country in the world. The development of Islamic banking in Indonesia has become a benchmark for the success of the Islamic economic existence. Bank Muamalat as the first Islamic bank and a pioneer for other Islamic banks in Indonesia.", "author" : [ { "dropping-particle" : "", "family" : "Marimin", "given" : "Agus", "non-dropping-particle" : "", "parse-names" : false, "suffix" : "" }, { "dropping-particle" : "", "family" : "Romdhoni", "given" : "Abdul Haris", "non-dropping-particle" : "", "parse-names" : false, "suffix" : "" }, { "dropping-particle" : "", "family" : "Fitria", "given" : "Tira Nur", "non-dropping-particle" : "", "parse-names" : false, "suffix" : "" } ], "container-title" : "Jurnal Ilmiah Ekonomi Islam", "id" : "ITEM-1", "issue" : "2", "issued" : { "date-parts" : [ [ "2015" ] ] }, "page" : "75-87", "title" : "Perkembangan Bank Syariah di Indonesia", "type" : "article-journal", "volume" : "1" }, "uris" : [ "http://www.mendeley.com/documents/?uuid=bd739ad8-1f98-4450-ade3-50b427e60406" ] } ], "mendeley" : { "formattedCitation" : "(Marimin, Romdhoni, and Fitria 2015)", "manualFormatting" : "(Marimin et al., 2015)", "plainTextFormattedCitation" : "(Marimin, Romdhoni, and Fitria 2015)", "previouslyFormattedCitation" : "(Marimin, Romdhoni, and Fitria 2015)" }, "properties" : { "noteIndex" : 0 }, "schema" : "https://github.com/citation-style-language/schema/raw/master/csl-citation.json" }</w:instrText>
      </w:r>
      <w:r w:rsidR="00AD2C19">
        <w:rPr>
          <w:bCs/>
        </w:rPr>
        <w:fldChar w:fldCharType="separate"/>
      </w:r>
      <w:r w:rsidR="00F9333A">
        <w:rPr>
          <w:bCs/>
          <w:noProof/>
        </w:rPr>
        <w:t>(Marimin et al</w:t>
      </w:r>
      <w:r w:rsidR="00A60B2E">
        <w:rPr>
          <w:bCs/>
          <w:noProof/>
          <w:lang w:val="id-ID"/>
        </w:rPr>
        <w:t>.</w:t>
      </w:r>
      <w:r w:rsidR="008520D4">
        <w:rPr>
          <w:bCs/>
          <w:noProof/>
          <w:lang w:val="id-ID"/>
        </w:rPr>
        <w:t xml:space="preserve">, </w:t>
      </w:r>
      <w:r w:rsidR="00F9333A">
        <w:rPr>
          <w:bCs/>
          <w:noProof/>
          <w:lang w:val="id-ID"/>
        </w:rPr>
        <w:t>2015</w:t>
      </w:r>
      <w:r w:rsidR="00F9333A" w:rsidRPr="00F9333A">
        <w:rPr>
          <w:bCs/>
          <w:noProof/>
        </w:rPr>
        <w:t>)</w:t>
      </w:r>
      <w:r w:rsidR="00AD2C19">
        <w:rPr>
          <w:bCs/>
        </w:rPr>
        <w:fldChar w:fldCharType="end"/>
      </w:r>
      <w:r w:rsidR="00AD2C19">
        <w:rPr>
          <w:bCs/>
          <w:lang w:val="id-ID"/>
        </w:rPr>
        <w:t>.</w:t>
      </w:r>
    </w:p>
    <w:p w:rsidR="00BC2C9E" w:rsidRPr="009134CB" w:rsidRDefault="00BC2C9E" w:rsidP="00E25A1B">
      <w:pPr>
        <w:spacing w:line="360" w:lineRule="auto"/>
        <w:ind w:firstLine="720"/>
        <w:jc w:val="both"/>
        <w:rPr>
          <w:bCs/>
          <w:color w:val="FF0000"/>
        </w:rPr>
      </w:pPr>
      <w:r>
        <w:rPr>
          <w:bCs/>
        </w:rPr>
        <w:lastRenderedPageBreak/>
        <w:t>Menurut</w:t>
      </w:r>
      <w:r w:rsidR="00AD2C19">
        <w:rPr>
          <w:bCs/>
          <w:lang w:val="id-ID"/>
        </w:rPr>
        <w:t xml:space="preserve"> </w:t>
      </w:r>
      <w:r w:rsidR="00AD2C19">
        <w:rPr>
          <w:bCs/>
        </w:rPr>
        <w:fldChar w:fldCharType="begin" w:fldLock="1"/>
      </w:r>
      <w:r w:rsidR="00AD31BA">
        <w:rPr>
          <w:bCs/>
        </w:rPr>
        <w:instrText>ADDIN CSL_CITATION { "citationItems" : [ { "id" : "ITEM-1", "itemData" : { "abstract" : "Sharia banking in Indonesia has approached 24 years of age. This age implies that it such sharia banking has shifted to maturity phase. It has developed significantly compared to that of previous years. It can be observed from its average growth of its assets, DPK, PYD which is 45% higher than the years of 2000 up to 2014. However, it is expected that it must able to make use of opportunities which are presently available to encounter challenges in the future, Consequently, it should be able to take advantage of supports and contributions of other such related parties as government, ulama, society, academicians, and students majoring in sharia banking as well.", "author" : [ { "dropping-particle" : "", "family" : "Nofinawati", "given" : "", "non-dropping-particle" : "", "parse-names" : false, "suffix" : "" } ], "container-title" : "Jurnal JURIS", "id" : "ITEM-1", "issue" : "2", "issued" : { "date-parts" : [ [ "2015" ] ] }, "page" : "168-183", "title" : "Perkembangan perbankan syariah di indonesia", "type" : "article-journal", "volume" : "14" }, "uris" : [ "http://www.mendeley.com/documents/?uuid=425fc8f5-5746-40d1-9035-a778b00e69a4" ] } ], "mendeley" : { "formattedCitation" : "(Nofinawati 2015)", "manualFormatting" : "Nofinawati (2015)", "plainTextFormattedCitation" : "(Nofinawati 2015)", "previouslyFormattedCitation" : "(Nofinawati 2015)" }, "properties" : { "noteIndex" : 0 }, "schema" : "https://github.com/citation-style-language/schema/raw/master/csl-citation.json" }</w:instrText>
      </w:r>
      <w:r w:rsidR="00AD2C19">
        <w:rPr>
          <w:bCs/>
        </w:rPr>
        <w:fldChar w:fldCharType="separate"/>
      </w:r>
      <w:r w:rsidR="00F9333A" w:rsidRPr="00F9333A">
        <w:rPr>
          <w:bCs/>
          <w:noProof/>
        </w:rPr>
        <w:t xml:space="preserve">Nofinawati </w:t>
      </w:r>
      <w:r w:rsidR="00F9333A">
        <w:rPr>
          <w:bCs/>
          <w:noProof/>
          <w:lang w:val="id-ID"/>
        </w:rPr>
        <w:t>(</w:t>
      </w:r>
      <w:r w:rsidR="00F9333A" w:rsidRPr="00F9333A">
        <w:rPr>
          <w:bCs/>
          <w:noProof/>
        </w:rPr>
        <w:t>2015)</w:t>
      </w:r>
      <w:r w:rsidR="00AD2C19">
        <w:rPr>
          <w:bCs/>
        </w:rPr>
        <w:fldChar w:fldCharType="end"/>
      </w:r>
      <w:r w:rsidR="00AD2C19">
        <w:rPr>
          <w:bCs/>
          <w:lang w:val="id-ID"/>
        </w:rPr>
        <w:t xml:space="preserve"> </w:t>
      </w:r>
      <w:r w:rsidRPr="00872F7B">
        <w:rPr>
          <w:bCs/>
          <w:color w:val="000000"/>
        </w:rPr>
        <w:t xml:space="preserve">dalam penelitiannya menyatakan bahwa </w:t>
      </w:r>
      <w:r>
        <w:rPr>
          <w:bCs/>
        </w:rPr>
        <w:t>b</w:t>
      </w:r>
      <w:r w:rsidRPr="00C728E9">
        <w:rPr>
          <w:bCs/>
        </w:rPr>
        <w:t xml:space="preserve">erdasarkan sejarah perekonomian Islam, dimana tradisi umat Islam sejak zaman Rasulullah SAW untuk masalah pembiayaan harus dilakukan dengan akad dan harus sesuai dengan syariah yang berlaku. </w:t>
      </w:r>
      <w:proofErr w:type="gramStart"/>
      <w:r w:rsidRPr="00C728E9">
        <w:rPr>
          <w:bCs/>
        </w:rPr>
        <w:t>Seperti praktik pengiriman uang, penerimaan dalam penitipan harta benda serta meminjam uang untuk hal bisnis dan konsumsi.</w:t>
      </w:r>
      <w:proofErr w:type="gramEnd"/>
      <w:r w:rsidRPr="00C728E9">
        <w:rPr>
          <w:bCs/>
        </w:rPr>
        <w:t xml:space="preserve"> Sehingga dapat disimpulkan bahwa tugas utama perbankan konvensional menerima simpanan </w:t>
      </w:r>
      <w:proofErr w:type="gramStart"/>
      <w:r w:rsidRPr="00C728E9">
        <w:rPr>
          <w:bCs/>
        </w:rPr>
        <w:t>dana</w:t>
      </w:r>
      <w:proofErr w:type="gramEnd"/>
      <w:r w:rsidRPr="00C728E9">
        <w:rPr>
          <w:bCs/>
        </w:rPr>
        <w:t xml:space="preserve"> atau deposit, penyaluran dana kepada masyarakat, serta pengiriman dana yang mana kegiatan ini tidak bisa terlepas dan terpisahkan dari kehidupan umat Islam</w:t>
      </w:r>
      <w:r w:rsidRPr="00872F7B">
        <w:rPr>
          <w:bCs/>
          <w:color w:val="000000"/>
        </w:rPr>
        <w:t xml:space="preserve">. </w:t>
      </w:r>
    </w:p>
    <w:p w:rsidR="00BC2C9E" w:rsidRPr="00AD2C19" w:rsidRDefault="00BC2C9E" w:rsidP="00E25A1B">
      <w:pPr>
        <w:spacing w:line="360" w:lineRule="auto"/>
        <w:ind w:firstLine="720"/>
        <w:jc w:val="both"/>
        <w:rPr>
          <w:bCs/>
          <w:lang w:val="id-ID"/>
        </w:rPr>
      </w:pPr>
      <w:r w:rsidRPr="00C728E9">
        <w:rPr>
          <w:bCs/>
        </w:rPr>
        <w:t xml:space="preserve">Dalam kehidupan Rasulullah SAW dan Siti Khadijah pernah mempraktikkan sistem akad </w:t>
      </w:r>
      <w:r w:rsidRPr="00C728E9">
        <w:rPr>
          <w:bCs/>
          <w:i/>
          <w:iCs/>
        </w:rPr>
        <w:t>mudharabah</w:t>
      </w:r>
      <w:r w:rsidRPr="00C728E9">
        <w:rPr>
          <w:bCs/>
        </w:rPr>
        <w:t xml:space="preserve">, Siti Khadijah bertindak sebagai </w:t>
      </w:r>
      <w:r w:rsidRPr="00C728E9">
        <w:rPr>
          <w:bCs/>
          <w:i/>
          <w:iCs/>
        </w:rPr>
        <w:t xml:space="preserve">shahibul maal </w:t>
      </w:r>
      <w:r w:rsidRPr="00C728E9">
        <w:rPr>
          <w:bCs/>
          <w:iCs/>
        </w:rPr>
        <w:t>(pemilik modal)</w:t>
      </w:r>
      <w:r w:rsidRPr="00C728E9">
        <w:rPr>
          <w:bCs/>
          <w:i/>
          <w:iCs/>
        </w:rPr>
        <w:t xml:space="preserve"> </w:t>
      </w:r>
      <w:r w:rsidRPr="00C728E9">
        <w:rPr>
          <w:bCs/>
        </w:rPr>
        <w:t xml:space="preserve">dan Rasulullah SAW bertindak sebagai </w:t>
      </w:r>
      <w:r w:rsidRPr="00C728E9">
        <w:rPr>
          <w:bCs/>
          <w:i/>
          <w:iCs/>
        </w:rPr>
        <w:t xml:space="preserve">mudharib </w:t>
      </w:r>
      <w:r w:rsidRPr="00C728E9">
        <w:rPr>
          <w:bCs/>
        </w:rPr>
        <w:t xml:space="preserve">(pengelola dana) yang mana </w:t>
      </w:r>
      <w:r w:rsidRPr="00C728E9">
        <w:rPr>
          <w:bCs/>
          <w:i/>
          <w:iCs/>
        </w:rPr>
        <w:t xml:space="preserve">mudharabah </w:t>
      </w:r>
      <w:r w:rsidRPr="00C728E9">
        <w:rPr>
          <w:bCs/>
          <w:iCs/>
        </w:rPr>
        <w:t>adalah</w:t>
      </w:r>
      <w:r w:rsidRPr="00C728E9">
        <w:rPr>
          <w:bCs/>
        </w:rPr>
        <w:t xml:space="preserve"> suatu bentuk kerjasama antara pemilik modal/dana dengan pengelola yang disertai suatu perjanjian. </w:t>
      </w:r>
      <w:proofErr w:type="gramStart"/>
      <w:r w:rsidRPr="00C728E9">
        <w:rPr>
          <w:bCs/>
        </w:rPr>
        <w:t>Dana yang sudah terhimpun kemudian dikelola oleh Rasulullah SAW kedalam bentuk usaha perdagangan.</w:t>
      </w:r>
      <w:proofErr w:type="gramEnd"/>
      <w:r w:rsidRPr="00C728E9">
        <w:rPr>
          <w:bCs/>
        </w:rPr>
        <w:t xml:space="preserve"> </w:t>
      </w:r>
      <w:proofErr w:type="gramStart"/>
      <w:r w:rsidRPr="00C728E9">
        <w:rPr>
          <w:bCs/>
        </w:rPr>
        <w:t>Setelah Rasulullah SAW mendapatkan hasil dari usaha perdagangan nya, maka Rasulullah SAW membagi hasil kepada Siti Khadijah sesuai dengan kesepakatan pada saat akad.</w:t>
      </w:r>
      <w:proofErr w:type="gramEnd"/>
      <w:r w:rsidRPr="00C728E9">
        <w:rPr>
          <w:bCs/>
        </w:rPr>
        <w:t xml:space="preserve"> Sehingga dapat dipahami bahwa sebenarnya lembaga perbankan belum ada pada zaman Rasullah SAW, namun kenyataannya praktik perbankan telah </w:t>
      </w:r>
      <w:r>
        <w:rPr>
          <w:bCs/>
        </w:rPr>
        <w:t>menjadi tradisi umat Islam</w:t>
      </w:r>
      <w:r w:rsidR="008520D4">
        <w:rPr>
          <w:bCs/>
          <w:lang w:val="id-ID"/>
        </w:rPr>
        <w:t xml:space="preserve"> </w:t>
      </w:r>
      <w:r w:rsidR="008520D4">
        <w:rPr>
          <w:bCs/>
        </w:rPr>
        <w:fldChar w:fldCharType="begin" w:fldLock="1"/>
      </w:r>
      <w:r w:rsidR="00AD31BA">
        <w:rPr>
          <w:bCs/>
        </w:rPr>
        <w:instrText>ADDIN CSL_CITATION { "citationItems" : [ { "id" : "ITEM-1", "itemData" : { "abstract" : "Sharia banking in Indonesia has approached 24 years of age. This age implies that it such sharia banking has shifted to maturity phase. It has developed significantly compared to that of previous years. It can be observed from its average growth of its assets, DPK, PYD which is 45% higher than the years of 2000 up to 2014. However, it is expected that it must able to make use of opportunities which are presently available to encounter challenges in the future, Consequently, it should be able to take advantage of supports and contributions of other such related parties as government, ulama, society, academicians, and students majoring in sharia banking as well.", "author" : [ { "dropping-particle" : "", "family" : "Nofinawati", "given" : "", "non-dropping-particle" : "", "parse-names" : false, "suffix" : "" } ], "container-title" : "Jurnal JURIS", "id" : "ITEM-1", "issue" : "2", "issued" : { "date-parts" : [ [ "2015" ] ] }, "page" : "168-183", "title" : "Perkembangan perbankan syariah di indonesia", "type" : "article-journal", "volume" : "14" }, "uris" : [ "http://www.mendeley.com/documents/?uuid=425fc8f5-5746-40d1-9035-a778b00e69a4" ] } ], "mendeley" : { "formattedCitation" : "(Nofinawati 2015)", "manualFormatting" : "(Nofinawati, 2015)", "plainTextFormattedCitation" : "(Nofinawati 2015)", "previouslyFormattedCitation" : "(Nofinawati 2015)" }, "properties" : { "noteIndex" : 0 }, "schema" : "https://github.com/citation-style-language/schema/raw/master/csl-citation.json" }</w:instrText>
      </w:r>
      <w:r w:rsidR="008520D4">
        <w:rPr>
          <w:bCs/>
        </w:rPr>
        <w:fldChar w:fldCharType="separate"/>
      </w:r>
      <w:r w:rsidR="008520D4" w:rsidRPr="008520D4">
        <w:rPr>
          <w:bCs/>
          <w:noProof/>
        </w:rPr>
        <w:t>(Nofinawati</w:t>
      </w:r>
      <w:r w:rsidR="008520D4">
        <w:rPr>
          <w:bCs/>
          <w:noProof/>
          <w:lang w:val="id-ID"/>
        </w:rPr>
        <w:t>, 2015</w:t>
      </w:r>
      <w:r w:rsidR="008520D4" w:rsidRPr="008520D4">
        <w:rPr>
          <w:bCs/>
          <w:noProof/>
        </w:rPr>
        <w:t>)</w:t>
      </w:r>
      <w:r w:rsidR="008520D4">
        <w:rPr>
          <w:bCs/>
        </w:rPr>
        <w:fldChar w:fldCharType="end"/>
      </w:r>
      <w:r w:rsidR="00AD2C19">
        <w:rPr>
          <w:bCs/>
          <w:lang w:val="id-ID"/>
        </w:rPr>
        <w:t>.</w:t>
      </w:r>
    </w:p>
    <w:p w:rsidR="00BC2C9E" w:rsidRPr="00BC2C9E" w:rsidRDefault="00BC2C9E" w:rsidP="00BC2C9E">
      <w:pPr>
        <w:rPr>
          <w:bCs/>
          <w:iCs/>
          <w:color w:val="000000"/>
          <w:lang w:val="id-ID"/>
        </w:rPr>
      </w:pPr>
    </w:p>
    <w:p w:rsidR="00A60B2E" w:rsidRDefault="00A60B2E" w:rsidP="00A60B2E">
      <w:pPr>
        <w:spacing w:line="360" w:lineRule="auto"/>
        <w:jc w:val="both"/>
        <w:rPr>
          <w:b/>
          <w:lang w:val="id-ID"/>
        </w:rPr>
      </w:pPr>
      <w:r w:rsidRPr="00F839D1">
        <w:rPr>
          <w:b/>
        </w:rPr>
        <w:t>PERKEMBANGAN DAN PERTUMBUHAN PERBANKAN SYARIAH</w:t>
      </w:r>
    </w:p>
    <w:p w:rsidR="00A60B2E" w:rsidRDefault="00A60B2E" w:rsidP="00A60B2E">
      <w:pPr>
        <w:spacing w:line="360" w:lineRule="auto"/>
        <w:ind w:firstLine="720"/>
        <w:jc w:val="both"/>
        <w:rPr>
          <w:color w:val="000000"/>
          <w:lang w:val="id-ID" w:eastAsia="id-ID"/>
        </w:rPr>
      </w:pPr>
      <w:r w:rsidRPr="00AD2C19">
        <w:rPr>
          <w:color w:val="000000"/>
          <w:lang w:val="id-ID" w:eastAsia="id-ID"/>
        </w:rPr>
        <w:t xml:space="preserve">Bank salah satu usaha yang </w:t>
      </w:r>
      <w:r w:rsidR="0082492E">
        <w:rPr>
          <w:color w:val="000000"/>
          <w:lang w:val="id-ID" w:eastAsia="id-ID"/>
        </w:rPr>
        <w:t>kegiatan</w:t>
      </w:r>
      <w:r w:rsidRPr="00AD2C19">
        <w:rPr>
          <w:color w:val="000000"/>
          <w:lang w:val="id-ID" w:eastAsia="id-ID"/>
        </w:rPr>
        <w:t>nya menghimpun dana dari masyarakat seperti bentuk simpanan kemudian meyalurkan kembali kepada masyarakat dalam bentuk</w:t>
      </w:r>
      <w:r w:rsidRPr="00AD2C19">
        <w:rPr>
          <w:lang w:val="id-ID" w:eastAsia="id-ID"/>
        </w:rPr>
        <w:t xml:space="preserve"> </w:t>
      </w:r>
      <w:r w:rsidRPr="00AD2C19">
        <w:rPr>
          <w:color w:val="000000"/>
          <w:lang w:val="id-ID" w:eastAsia="id-ID"/>
        </w:rPr>
        <w:t>pemberian kredit</w:t>
      </w:r>
      <w:r>
        <w:rPr>
          <w:color w:val="000000"/>
          <w:lang w:val="id-ID" w:eastAsia="id-ID"/>
        </w:rPr>
        <w:t xml:space="preserve"> </w:t>
      </w:r>
      <w:r>
        <w:rPr>
          <w:color w:val="000000"/>
          <w:lang w:val="id-ID" w:eastAsia="id-ID"/>
        </w:rPr>
        <w:fldChar w:fldCharType="begin" w:fldLock="1"/>
      </w:r>
      <w:r w:rsidR="00AD31BA">
        <w:rPr>
          <w:color w:val="000000"/>
          <w:lang w:val="id-ID" w:eastAsia="id-ID"/>
        </w:rPr>
        <w:instrText>ADDIN CSL_CITATION { "citationItems" : [ { "id" : "ITEM-1", "itemData" : { "abstract" : "Tujuan penelitian ini sebagai perbandingan kinerja keuangan antara Bank Umum Syariah dengan Bank Umum Konvensional di Indonesia menggunakan rasio keuangan periode tahun 2007 sampai dengan tahun 2017. Rasio-rasio keuangan yang digunakan untuk mengukur kinerja keuangan bank terdiri dari rasio CAR, NPL, ROA, BOPO dan LDR. Hasil dari rasio CAR Bank Umum Konvensional lebih baik dalam menjaga rasio modalnya dengan kata lain, Bank Umum Konvensional lebih unggul dalam pemodalan. Hasil rasio NPL pada Bank Umum Syariah lebih tinggi dibandingkan dengan Bank Umum Konvensional hal tersebut menandakan bahwa kredit bermasalah yang dimiliki Bank Umum Konvensional lebih baik dibandingkan dengan Bank Umum Syariah. Hasil rasio ROA pada Bank Umum Konvensional lebih tinggi dibandingkan dengan Bank Umum Syariah hal tersebut menandakan bahwa keuntungan dan penggunaan aset pada Bank Umum Konvensional lebih baik dibandingkan dengan Bank Umum Syariah.Rasio BOPO pada Bank Umum Syariah lebih tinggi dibandingkan dengan Bank Umum Konvensionalhal tersebut menandakan bahwa biaya operasional yang dikeluarkan Bank Umum Syariah dalam posisi bermasalah dibandingkan dengan Bank Umum Konvensional.Rasio LDR pada Bank Umum Syariah lebih tinggi dibandingkan dengan Bank Umum Konvensional hal tersebut menandakan bahwa Bank Umum Konvensional lebih mampu untukmemenuhi kewajiban jangka pendeknya pada saat ditagih dibandingkan dengan Bank Umum Syariah.", "author" : [ { "dropping-particle" : "", "family" : "Suhendro", "given" : "Dedi", "non-dropping-particle" : "", "parse-names" : false, "suffix" : "" } ], "container-title" : "Jurnal Masharif al-Syariah: Jurnal Ekonomi dan Perbankan Syariah", "id" : "ITEM-1", "issue" : "1", "issued" : { "date-parts" : [ [ "2018" ] ] }, "title" : "Analisis Perbandingan kinerja Keuangan Bank Umum Syariah VS Bank Umum Konvensional di Indonesia dengan Menggunakan Rasio Keuangan", "type" : "article-journal", "volume" : "3" }, "uris" : [ "http://www.mendeley.com/documents/?uuid=9ffda4b4-fd88-402d-990e-3a4626f7c24a" ] } ], "mendeley" : { "formattedCitation" : "(Suhendro 2018)", "manualFormatting" : "(Suhendro, 2018)", "plainTextFormattedCitation" : "(Suhendro 2018)", "previouslyFormattedCitation" : "(Suhendro 2018)" }, "properties" : { "noteIndex" : 0 }, "schema" : "https://github.com/citation-style-language/schema/raw/master/csl-citation.json" }</w:instrText>
      </w:r>
      <w:r>
        <w:rPr>
          <w:color w:val="000000"/>
          <w:lang w:val="id-ID" w:eastAsia="id-ID"/>
        </w:rPr>
        <w:fldChar w:fldCharType="separate"/>
      </w:r>
      <w:r w:rsidRPr="00A60B2E">
        <w:rPr>
          <w:noProof/>
          <w:color w:val="000000"/>
          <w:lang w:val="id-ID" w:eastAsia="id-ID"/>
        </w:rPr>
        <w:t>(Suhendro</w:t>
      </w:r>
      <w:r w:rsidR="009E6D60">
        <w:rPr>
          <w:noProof/>
          <w:color w:val="000000"/>
          <w:lang w:val="id-ID" w:eastAsia="id-ID"/>
        </w:rPr>
        <w:t>, 2018</w:t>
      </w:r>
      <w:r w:rsidRPr="00A60B2E">
        <w:rPr>
          <w:noProof/>
          <w:color w:val="000000"/>
          <w:lang w:val="id-ID" w:eastAsia="id-ID"/>
        </w:rPr>
        <w:t>)</w:t>
      </w:r>
      <w:r>
        <w:rPr>
          <w:color w:val="000000"/>
          <w:lang w:val="id-ID" w:eastAsia="id-ID"/>
        </w:rPr>
        <w:fldChar w:fldCharType="end"/>
      </w:r>
      <w:r w:rsidR="0082492E">
        <w:rPr>
          <w:color w:val="000000"/>
          <w:lang w:val="id-ID" w:eastAsia="id-ID"/>
        </w:rPr>
        <w:t xml:space="preserve">. </w:t>
      </w:r>
    </w:p>
    <w:p w:rsidR="00A60B2E" w:rsidRPr="00F839D1" w:rsidRDefault="00A60B2E" w:rsidP="009E6D60">
      <w:pPr>
        <w:spacing w:line="360" w:lineRule="auto"/>
        <w:ind w:firstLine="720"/>
        <w:jc w:val="both"/>
      </w:pPr>
      <w:r w:rsidRPr="00F839D1">
        <w:t xml:space="preserve">Dalam praktiknya bank syariah atau dinegara lain disebut </w:t>
      </w:r>
      <w:r w:rsidRPr="00F839D1">
        <w:rPr>
          <w:i/>
          <w:iCs/>
        </w:rPr>
        <w:t xml:space="preserve">Islamic Bank </w:t>
      </w:r>
      <w:r w:rsidRPr="00F839D1">
        <w:t xml:space="preserve">melaksanakan kegiatan sesuai dengan prinsip-prinsip syariah, yaitu menerapkan sistem perjanjian antara bank syariah dengan pihak lain yang menyangkut penyimpanan </w:t>
      </w:r>
      <w:proofErr w:type="gramStart"/>
      <w:r w:rsidRPr="00F839D1">
        <w:t>dana</w:t>
      </w:r>
      <w:proofErr w:type="gramEnd"/>
      <w:r w:rsidRPr="00F839D1">
        <w:t xml:space="preserve"> atau pembiayaan sesuai dengan hukum islam sehingga sangat berbeda dengan bank konvensional.</w:t>
      </w:r>
    </w:p>
    <w:p w:rsidR="00A60B2E" w:rsidRPr="009E6D60" w:rsidRDefault="00A60B2E" w:rsidP="009E6D60">
      <w:pPr>
        <w:spacing w:line="360" w:lineRule="auto"/>
        <w:ind w:firstLine="720"/>
        <w:jc w:val="both"/>
        <w:rPr>
          <w:lang w:val="id-ID"/>
        </w:rPr>
      </w:pPr>
      <w:r w:rsidRPr="00F839D1">
        <w:t xml:space="preserve">Perbedaaan yang mendasar antara bank </w:t>
      </w:r>
      <w:r w:rsidRPr="00F839D1">
        <w:rPr>
          <w:color w:val="000000"/>
        </w:rPr>
        <w:t xml:space="preserve">konvensional dengan bank syariah, seperti diketahui bahwa bank konvensional menjalankan sistem bunga yang mana sistem bunga mengandung unsur dan prinsip riba, dalam sistem bunga adanya ketidakadilan disebabkan pihak bank </w:t>
      </w:r>
      <w:r w:rsidRPr="00F839D1">
        <w:t>konvensional</w:t>
      </w:r>
      <w:r w:rsidRPr="00F839D1">
        <w:rPr>
          <w:color w:val="000000"/>
        </w:rPr>
        <w:t xml:space="preserve"> (pemilik dana) memberikan kewajiban kepada peminjam untuk membayar lebih dari dana yang dipinjamnya tanpa melihat apakah peminjam mendapat </w:t>
      </w:r>
      <w:r w:rsidRPr="00F839D1">
        <w:rPr>
          <w:color w:val="000000"/>
        </w:rPr>
        <w:lastRenderedPageBreak/>
        <w:t xml:space="preserve">keuntungan atau mengalami kerugian. Sehingga sistem bunga dilarang dalam ajaran agama </w:t>
      </w:r>
      <w:proofErr w:type="gramStart"/>
      <w:r w:rsidRPr="00F839D1">
        <w:rPr>
          <w:color w:val="000000"/>
        </w:rPr>
        <w:t>islam</w:t>
      </w:r>
      <w:proofErr w:type="gramEnd"/>
      <w:r w:rsidRPr="00F839D1">
        <w:rPr>
          <w:color w:val="000000"/>
        </w:rPr>
        <w:t xml:space="preserve">. Sedangkan bank syariah berlandaskan pada sistem bagi hasil yang menerapkan prinsip dimana ketika peminjam dan pihak bank syariah (pemilik </w:t>
      </w:r>
      <w:proofErr w:type="gramStart"/>
      <w:r w:rsidRPr="00F839D1">
        <w:rPr>
          <w:color w:val="000000"/>
        </w:rPr>
        <w:t>dana</w:t>
      </w:r>
      <w:proofErr w:type="gramEnd"/>
      <w:r w:rsidRPr="00F839D1">
        <w:rPr>
          <w:color w:val="000000"/>
        </w:rPr>
        <w:t>) berbagi dalam keuntungan dan risiko kerugian dengan pembagian sesuai dengan kesepakatan. Ditinjau dari perspektif bidang ekonomi, bank syariah merupakan sebuah lembaga keuangan yang menyalurkan dana investasi kepada publik secara optimal dengan larangan riba dan kewajiban zakat yang bersifat produktif serta dijalankan sesuai prinsip, nila</w:t>
      </w:r>
      <w:r>
        <w:rPr>
          <w:color w:val="000000"/>
        </w:rPr>
        <w:t xml:space="preserve">i, etika dan moral ajaran </w:t>
      </w:r>
      <w:r w:rsidR="009E6D60">
        <w:rPr>
          <w:color w:val="000000"/>
        </w:rPr>
        <w:t>Islam</w:t>
      </w:r>
      <w:r w:rsidR="009E6D60">
        <w:rPr>
          <w:color w:val="000000"/>
          <w:lang w:val="id-ID"/>
        </w:rPr>
        <w:t xml:space="preserve"> </w:t>
      </w:r>
      <w:r w:rsidR="009E6D60">
        <w:rPr>
          <w:color w:val="000000"/>
        </w:rPr>
        <w:fldChar w:fldCharType="begin" w:fldLock="1"/>
      </w:r>
      <w:r w:rsidR="00AD31BA">
        <w:rPr>
          <w:color w:val="000000"/>
        </w:rPr>
        <w:instrText>ADDIN CSL_CITATION { "citationItems" : [ { "id" : "ITEM-1", "itemData" : { "ISBN" : "979-3363-16-9", "author" : [ { "dropping-particle" : "", "family" : "Diana Yumanita", "given" : "Ascarya", "non-dropping-particle" : "", "parse-names" : false, "suffix" : "" } ], "container-title" : "pengertian Bank Syariah journal", "id" : "ITEM-1", "issue" : "14", "issued" : { "date-parts" : [ [ "2010" ] ] }, "number-of-pages" : "82", "title" : "Bank Syariah: Gambaran Umum PUSAT", "type" : "book", "volume" : "14" }, "uris" : [ "http://www.mendeley.com/documents/?uuid=bf5b56c5-be1a-40b7-96b4-2c99e1879dbf" ] } ], "mendeley" : { "formattedCitation" : "(Diana Yumanita 2010)", "manualFormatting" : "(Diana Yumanita, 2010)", "plainTextFormattedCitation" : "(Diana Yumanita 2010)", "previouslyFormattedCitation" : "(Diana Yumanita 2010)" }, "properties" : { "noteIndex" : 0 }, "schema" : "https://github.com/citation-style-language/schema/raw/master/csl-citation.json" }</w:instrText>
      </w:r>
      <w:r w:rsidR="009E6D60">
        <w:rPr>
          <w:color w:val="000000"/>
        </w:rPr>
        <w:fldChar w:fldCharType="separate"/>
      </w:r>
      <w:r w:rsidR="009E6D60" w:rsidRPr="009E6D60">
        <w:rPr>
          <w:noProof/>
          <w:color w:val="000000"/>
        </w:rPr>
        <w:t>(Diana Yumanita</w:t>
      </w:r>
      <w:r w:rsidR="009E6D60">
        <w:rPr>
          <w:noProof/>
          <w:color w:val="000000"/>
          <w:lang w:val="id-ID"/>
        </w:rPr>
        <w:t>, 2010</w:t>
      </w:r>
      <w:r w:rsidR="009E6D60" w:rsidRPr="009E6D60">
        <w:rPr>
          <w:noProof/>
          <w:color w:val="000000"/>
        </w:rPr>
        <w:t>)</w:t>
      </w:r>
      <w:r w:rsidR="009E6D60">
        <w:rPr>
          <w:color w:val="000000"/>
        </w:rPr>
        <w:fldChar w:fldCharType="end"/>
      </w:r>
      <w:r w:rsidR="009E6D60">
        <w:rPr>
          <w:color w:val="000000"/>
          <w:lang w:val="id-ID"/>
        </w:rPr>
        <w:t>.</w:t>
      </w:r>
    </w:p>
    <w:p w:rsidR="00A60B2E" w:rsidRPr="00C12041" w:rsidRDefault="00C12041" w:rsidP="00C12041">
      <w:pPr>
        <w:spacing w:line="360" w:lineRule="auto"/>
        <w:ind w:firstLine="720"/>
        <w:jc w:val="both"/>
      </w:pPr>
      <w:r>
        <w:t>Menurut</w:t>
      </w:r>
      <w:r>
        <w:rPr>
          <w:lang w:val="id-ID"/>
        </w:rPr>
        <w:t xml:space="preserve"> </w:t>
      </w:r>
      <w:r>
        <w:fldChar w:fldCharType="begin" w:fldLock="1"/>
      </w:r>
      <w:r w:rsidR="00AD31BA">
        <w:instrText>ADDIN CSL_CITATION { "citationItems" : [ { "id" : "ITEM-1", "itemData" : { "abstract" : "Sharia banking in Indonesia has approached 24 years of age. This age implies that it such sharia banking has shifted to maturity phase. It has developed significantly compared to that of previous years. It can be observed from its average growth of its assets, DPK, PYD which is 45% higher than the years of 2000 up to 2014. However, it is expected that it must able to make use of opportunities which are presently available to encounter challenges in the future, Consequently, it should be able to take advantage of supports and contributions of other such related parties as government, ulama, society, academicians, and students majoring in sharia banking as well.", "author" : [ { "dropping-particle" : "", "family" : "Nofinawati", "given" : "", "non-dropping-particle" : "", "parse-names" : false, "suffix" : "" } ], "container-title" : "Jurnal JURIS", "id" : "ITEM-1", "issue" : "2", "issued" : { "date-parts" : [ [ "2015" ] ] }, "page" : "168-183", "title" : "Perkembangan perbankan syariah di indonesia", "type" : "article-journal", "volume" : "14" }, "uris" : [ "http://www.mendeley.com/documents/?uuid=425fc8f5-5746-40d1-9035-a778b00e69a4" ] } ], "mendeley" : { "formattedCitation" : "(Nofinawati 2015)", "manualFormatting" : "Nofinawati (2015)", "plainTextFormattedCitation" : "(Nofinawati 2015)", "previouslyFormattedCitation" : "(Nofinawati 2015)" }, "properties" : { "noteIndex" : 0 }, "schema" : "https://github.com/citation-style-language/schema/raw/master/csl-citation.json" }</w:instrText>
      </w:r>
      <w:r>
        <w:fldChar w:fldCharType="separate"/>
      </w:r>
      <w:r w:rsidRPr="00C12041">
        <w:rPr>
          <w:noProof/>
        </w:rPr>
        <w:t>Nofinawati</w:t>
      </w:r>
      <w:r>
        <w:rPr>
          <w:noProof/>
          <w:lang w:val="id-ID"/>
        </w:rPr>
        <w:t xml:space="preserve"> (2015</w:t>
      </w:r>
      <w:r w:rsidRPr="00C12041">
        <w:rPr>
          <w:noProof/>
        </w:rPr>
        <w:t>)</w:t>
      </w:r>
      <w:r>
        <w:fldChar w:fldCharType="end"/>
      </w:r>
      <w:r>
        <w:rPr>
          <w:lang w:val="id-ID"/>
        </w:rPr>
        <w:t xml:space="preserve"> </w:t>
      </w:r>
      <w:r w:rsidR="00A60B2E" w:rsidRPr="00C12041">
        <w:t xml:space="preserve">sistem perbankan yang menggunakan sistem bagi hasil telah ada sejak lama, yang diawali dengan banyaknya pemikiran-pemikiran kaum muslim dalam tulisan mereka tentang adanya bank syariah, misalnya tulisan-tulisan Muhammad Hamidullah yang ditulis pada 1944, 1955, 1957, dan 1962, bisa dikategorikan sebagai gagasan terdahulu mengenai perbankan Islam. </w:t>
      </w:r>
      <w:proofErr w:type="gramStart"/>
      <w:r w:rsidR="00A60B2E" w:rsidRPr="00C12041">
        <w:t>Anwar Qureshi pada tahun 1946, Naiem Siddiqi pada tahun 1948, dan Mahmud Ahmad pada tahun 1952.</w:t>
      </w:r>
      <w:proofErr w:type="gramEnd"/>
      <w:r w:rsidR="00A60B2E" w:rsidRPr="00C12041">
        <w:t xml:space="preserve"> </w:t>
      </w:r>
      <w:proofErr w:type="gramStart"/>
      <w:r w:rsidR="00A60B2E" w:rsidRPr="00C12041">
        <w:t>Kemudian uraian yang lebih terperinci tentang gagasan itu ditulis oleh Mawdudi pada tahun 1961.</w:t>
      </w:r>
      <w:proofErr w:type="gramEnd"/>
      <w:r w:rsidR="00A60B2E" w:rsidRPr="00C12041">
        <w:t xml:space="preserve"> </w:t>
      </w:r>
    </w:p>
    <w:p w:rsidR="00A60B2E" w:rsidRPr="00C12041" w:rsidRDefault="00A60B2E" w:rsidP="00C12041">
      <w:pPr>
        <w:spacing w:line="360" w:lineRule="auto"/>
        <w:ind w:firstLine="720"/>
        <w:jc w:val="both"/>
        <w:rPr>
          <w:lang w:val="id-ID"/>
        </w:rPr>
      </w:pPr>
      <w:r w:rsidRPr="00C12041">
        <w:t>Catatan sejarah menceritakan bahwa pada tahun 1940-an di Malaysia dan Pakistan perkembangan terhadap bank syariah dalam upaya terhadap pengelolaan dana untuk para jemaah haji dengan prinsip non-konvensional</w:t>
      </w:r>
      <w:r w:rsidR="00C12041" w:rsidRPr="00C12041">
        <w:rPr>
          <w:lang w:val="id-ID"/>
        </w:rPr>
        <w:t xml:space="preserve"> </w:t>
      </w:r>
      <w:r w:rsidR="00C12041" w:rsidRPr="00C12041">
        <w:fldChar w:fldCharType="begin" w:fldLock="1"/>
      </w:r>
      <w:r w:rsidR="00AD31BA">
        <w:instrText>ADDIN CSL_CITATION { "citationItems" : [ { "id" : "ITEM-1", "itemData" : { "abstract" : "Sharia banking in Indonesia has approached 24 years of age. This age implies that it such sharia banking has shifted to maturity phase. It has developed significantly compared to that of previous years. It can be observed from its average growth of its assets, DPK, PYD which is 45% higher than the years of 2000 up to 2014. However, it is expected that it must able to make use of opportunities which are presently available to encounter challenges in the future, Consequently, it should be able to take advantage of supports and contributions of other such related parties as government, ulama, society, academicians, and students majoring in sharia banking as well.", "author" : [ { "dropping-particle" : "", "family" : "Nofinawati", "given" : "", "non-dropping-particle" : "", "parse-names" : false, "suffix" : "" } ], "container-title" : "Jurnal JURIS", "id" : "ITEM-1", "issue" : "2", "issued" : { "date-parts" : [ [ "2015" ] ] }, "page" : "168-183", "title" : "Perkembangan perbankan syariah di indonesia", "type" : "article-journal", "volume" : "14" }, "uris" : [ "http://www.mendeley.com/documents/?uuid=425fc8f5-5746-40d1-9035-a778b00e69a4" ] } ], "mendeley" : { "formattedCitation" : "(Nofinawati 2015)", "manualFormatting" : "(Nofinawati, 2015)", "plainTextFormattedCitation" : "(Nofinawati 2015)", "previouslyFormattedCitation" : "(Nofinawati 2015)" }, "properties" : { "noteIndex" : 0 }, "schema" : "https://github.com/citation-style-language/schema/raw/master/csl-citation.json" }</w:instrText>
      </w:r>
      <w:r w:rsidR="00C12041" w:rsidRPr="00C12041">
        <w:fldChar w:fldCharType="separate"/>
      </w:r>
      <w:r w:rsidR="00C12041" w:rsidRPr="00C12041">
        <w:rPr>
          <w:noProof/>
        </w:rPr>
        <w:t>(Nofinawati</w:t>
      </w:r>
      <w:r w:rsidR="00C12041" w:rsidRPr="00C12041">
        <w:rPr>
          <w:noProof/>
          <w:lang w:val="id-ID"/>
        </w:rPr>
        <w:t>, 2015</w:t>
      </w:r>
      <w:r w:rsidR="00C12041" w:rsidRPr="00C12041">
        <w:rPr>
          <w:noProof/>
        </w:rPr>
        <w:t>)</w:t>
      </w:r>
      <w:r w:rsidR="00C12041" w:rsidRPr="00C12041">
        <w:fldChar w:fldCharType="end"/>
      </w:r>
      <w:r w:rsidRPr="00C12041">
        <w:t>. Tetapi sejarah lain menceritakan pada tahun 1963 pertama kali bank syariah adalah</w:t>
      </w:r>
      <w:r w:rsidRPr="00C12041">
        <w:rPr>
          <w:i/>
        </w:rPr>
        <w:t xml:space="preserve"> Mit Ghamr</w:t>
      </w:r>
      <w:r w:rsidRPr="00C12041">
        <w:t xml:space="preserve"> </w:t>
      </w:r>
      <w:r w:rsidRPr="00C12041">
        <w:rPr>
          <w:i/>
          <w:iCs/>
        </w:rPr>
        <w:t>Lokal Saving Bank</w:t>
      </w:r>
      <w:r w:rsidRPr="00C12041">
        <w:t xml:space="preserve"> didirikan oleh Dr. Ahmad el-Najar di kota kecil, Mesir sebagai </w:t>
      </w:r>
      <w:r w:rsidRPr="00C12041">
        <w:rPr>
          <w:i/>
          <w:iCs/>
        </w:rPr>
        <w:t xml:space="preserve">pilot project </w:t>
      </w:r>
      <w:r w:rsidRPr="00C12041">
        <w:t>dalam bentuk bank tabungan pedesaan. Pada tahun 1965 didirikan di Pakistan dalam bentuk bank koperasi</w:t>
      </w:r>
      <w:r w:rsidR="00C12041">
        <w:rPr>
          <w:lang w:val="id-ID"/>
        </w:rPr>
        <w:t xml:space="preserve"> </w:t>
      </w:r>
      <w:r w:rsidR="00C12041">
        <w:fldChar w:fldCharType="begin" w:fldLock="1"/>
      </w:r>
      <w:r w:rsidR="00AD31BA">
        <w:instrText>ADDIN CSL_CITATION { "citationItems" : [ { "id" : "ITEM-1", "itemData" : { "abstract" : "Indonesia with around 204 million populations is biggest Muslim country in the world. As a biggest Muslim population, there is a huge potential for the development of Islamic banking. Islamic banking is first received more attention with the release of government laws that support Islamic banking. In 1992 the first Islamic banks namely Bank Muamalat Indonesia officially operated. After that a few other Islamic banks, either in the form of full-pledge system or in the form of dual banking system were opened. Beside support from government, support for the development of Islamic banking is also coming from Majelis Ulama Indonesia (MUI) and Muhammadiyah society organizations characterized by discharge fatwa of bank interest as haram. The current market share of Islamic bank is too small it really does not reflect the huge potential of the Muslim population of Indonesia. Purpose of this paper is to review the development of Islamic banking in Indonesia in recent years. This paper is using secondary data and analyzed that data by using content analysis. The result found that the Islamic bank's market share is only 3.2% of the overall banking industry market share. However, if viewed in terms of asset development, financing and the number of institutions, was showing significant growth. Of course, this market share is too small when compared with the number of the Muslim population of Indonesia, especially when compared with a market share of Islamic banking in other Muslim countries. This situation suggests that Islamic banking is the only alternative, not an obligation for Muslims of Indonesia. The lower share of this market were due to the lack of consumer knowledge on Islamic banking, the lack of government commitment, poor socialization and longer haram halal legal debate over the issue of bank interest.", "author" : [ { "dropping-particle" : "", "family" : "Sari", "given" : "Mutiara dwi", "non-dropping-particle" : "", "parse-names" : false, "suffix" : "" }, { "dropping-particle" : "", "family" : "Bahari", "given" : "Zakaria", "non-dropping-particle" : "", "parse-names" : false, "suffix" : "" }, { "dropping-particle" : "", "family" : "Hamat", "given" : "Zahri", "non-dropping-particle" : "", "parse-names" : false, "suffix" : "" } ], "container-title" : "Jurnal Aplikasi Bisnis", "id" : "ITEM-1", "issue" : "2", "issued" : { "date-parts" : [ [ "2013" ] ] }, "page" : "120-138", "title" : "Perkembangan Perbankan Syariah Di Indonesia : Suatu Tinjauan", "type" : "article-journal", "volume" : "3" }, "uris" : [ "http://www.mendeley.com/documents/?uuid=47ad2ab7-049e-47a2-8136-bd39b60b7e66" ] } ], "mendeley" : { "formattedCitation" : "(Sari, Bahari, and Hamat 2013)", "manualFormatting" : "(Sari et al., 2013)", "plainTextFormattedCitation" : "(Sari, Bahari, and Hamat 2013)", "previouslyFormattedCitation" : "(Sari, Bahari, and Hamat 2013)" }, "properties" : { "noteIndex" : 0 }, "schema" : "https://github.com/citation-style-language/schema/raw/master/csl-citation.json" }</w:instrText>
      </w:r>
      <w:r w:rsidR="00C12041">
        <w:fldChar w:fldCharType="separate"/>
      </w:r>
      <w:r w:rsidR="00C12041" w:rsidRPr="00C12041">
        <w:rPr>
          <w:noProof/>
        </w:rPr>
        <w:t>(Sari et al.</w:t>
      </w:r>
      <w:r w:rsidR="00C12041">
        <w:rPr>
          <w:noProof/>
          <w:lang w:val="id-ID"/>
        </w:rPr>
        <w:t>, 2013</w:t>
      </w:r>
      <w:r w:rsidR="00C12041" w:rsidRPr="00C12041">
        <w:rPr>
          <w:noProof/>
        </w:rPr>
        <w:t>)</w:t>
      </w:r>
      <w:r w:rsidR="00C12041">
        <w:fldChar w:fldCharType="end"/>
      </w:r>
      <w:r w:rsidRPr="00C12041">
        <w:t xml:space="preserve">. Gerakan bank syariah mulai hidup pada pertengahan tahun 1970-an, seperti berdirinya </w:t>
      </w:r>
      <w:r w:rsidRPr="00C12041">
        <w:rPr>
          <w:i/>
          <w:iCs/>
        </w:rPr>
        <w:t xml:space="preserve">Islamic Development Bank </w:t>
      </w:r>
      <w:r w:rsidRPr="00C12041">
        <w:t xml:space="preserve">pada tahun 1975 sebagai lembaga keuangan internasional Islam multilateral, hal inilah yang menggerakkan </w:t>
      </w:r>
      <w:proofErr w:type="gramStart"/>
      <w:r w:rsidRPr="00C12041">
        <w:t>didirikannya  bank</w:t>
      </w:r>
      <w:proofErr w:type="gramEnd"/>
      <w:r w:rsidRPr="00C12041">
        <w:t xml:space="preserve"> syariah di negara lain seperti </w:t>
      </w:r>
      <w:r w:rsidRPr="00C12041">
        <w:rPr>
          <w:i/>
          <w:iCs/>
        </w:rPr>
        <w:t xml:space="preserve">Dubai Islamic Bank </w:t>
      </w:r>
      <w:r w:rsidRPr="00C12041">
        <w:t xml:space="preserve">di Dubai pada tahun 1975, </w:t>
      </w:r>
      <w:r w:rsidRPr="00C12041">
        <w:rPr>
          <w:i/>
          <w:iCs/>
        </w:rPr>
        <w:t xml:space="preserve">Kuwait Finance House </w:t>
      </w:r>
      <w:r w:rsidRPr="00C12041">
        <w:t xml:space="preserve">di Kuwait tahun 1977 dan </w:t>
      </w:r>
      <w:r w:rsidRPr="00C12041">
        <w:rPr>
          <w:i/>
          <w:iCs/>
        </w:rPr>
        <w:t xml:space="preserve">Faisal Islamic Bank </w:t>
      </w:r>
      <w:r w:rsidRPr="00C12041">
        <w:t>di Mesir dan Sudan pada tahun 1977. Jumlah bank dan lembaga keuangan syariah mencapai lebih dari 200 yang beroperasi di 70 negara baik negara muslim dan negara non-muslim dan total por</w:t>
      </w:r>
      <w:r w:rsidR="00C12041">
        <w:t>tofolionya berkisar $200 milyar</w:t>
      </w:r>
      <w:r w:rsidR="00C12041">
        <w:rPr>
          <w:lang w:val="id-ID"/>
        </w:rPr>
        <w:t xml:space="preserve"> </w:t>
      </w:r>
      <w:r w:rsidR="00C12041">
        <w:fldChar w:fldCharType="begin" w:fldLock="1"/>
      </w:r>
      <w:r w:rsidR="00AD31BA">
        <w:instrText>ADDIN CSL_CITATION { "citationItems" : [ { "id" : "ITEM-1", "itemData" : { "ISBN" : "979-3363-16-9", "author" : [ { "dropping-particle" : "", "family" : "Diana Yumanita", "given" : "Ascarya", "non-dropping-particle" : "", "parse-names" : false, "suffix" : "" } ], "container-title" : "pengertian Bank Syariah journal", "id" : "ITEM-1", "issue" : "14", "issued" : { "date-parts" : [ [ "2010" ] ] }, "number-of-pages" : "82", "title" : "Bank Syariah: Gambaran Umum PUSAT", "type" : "book", "volume" : "14" }, "uris" : [ "http://www.mendeley.com/documents/?uuid=bf5b56c5-be1a-40b7-96b4-2c99e1879dbf" ] } ], "mendeley" : { "formattedCitation" : "(Diana Yumanita 2010)", "manualFormatting" : "(Diana Yumanita, 2010)", "plainTextFormattedCitation" : "(Diana Yumanita 2010)", "previouslyFormattedCitation" : "(Diana Yumanita 2010)" }, "properties" : { "noteIndex" : 0 }, "schema" : "https://github.com/citation-style-language/schema/raw/master/csl-citation.json" }</w:instrText>
      </w:r>
      <w:r w:rsidR="00C12041">
        <w:fldChar w:fldCharType="separate"/>
      </w:r>
      <w:r w:rsidR="00C12041" w:rsidRPr="00C12041">
        <w:rPr>
          <w:noProof/>
        </w:rPr>
        <w:t>(Diana Yumanita</w:t>
      </w:r>
      <w:r w:rsidR="00C12041">
        <w:rPr>
          <w:noProof/>
          <w:lang w:val="id-ID"/>
        </w:rPr>
        <w:t>, 2010</w:t>
      </w:r>
      <w:r w:rsidR="00C12041" w:rsidRPr="00C12041">
        <w:rPr>
          <w:noProof/>
        </w:rPr>
        <w:t>)</w:t>
      </w:r>
      <w:r w:rsidR="00C12041">
        <w:fldChar w:fldCharType="end"/>
      </w:r>
      <w:r w:rsidR="00C12041">
        <w:rPr>
          <w:lang w:val="id-ID"/>
        </w:rPr>
        <w:t>.</w:t>
      </w:r>
    </w:p>
    <w:p w:rsidR="00A60B2E" w:rsidRPr="00C12041" w:rsidRDefault="00A60B2E" w:rsidP="00C12041">
      <w:pPr>
        <w:spacing w:line="360" w:lineRule="auto"/>
        <w:ind w:firstLine="720"/>
        <w:jc w:val="both"/>
      </w:pPr>
      <w:r w:rsidRPr="00C12041">
        <w:t>Sehingga pada tanggal 21 s/d 27 April 1969 diselenggarakannya konferensi tingkat Internasional yang diadakan di Kuala Lumpur, Malaysia tentang gagasan berdirinya bank syariah, yang diikuti 19 negara. Hasil konferensi tingkat Internasional tersebut merumuskan:</w:t>
      </w:r>
    </w:p>
    <w:p w:rsidR="00A60B2E" w:rsidRPr="00C12041" w:rsidRDefault="00A60B2E" w:rsidP="00762FB4">
      <w:pPr>
        <w:numPr>
          <w:ilvl w:val="0"/>
          <w:numId w:val="18"/>
        </w:numPr>
        <w:spacing w:line="360" w:lineRule="auto"/>
        <w:ind w:left="426" w:hanging="426"/>
        <w:jc w:val="both"/>
      </w:pPr>
      <w:r w:rsidRPr="00C12041">
        <w:lastRenderedPageBreak/>
        <w:t xml:space="preserve">Tiap keuntungan haruslah tunduk kepada hukum laba dan rugi, jika tidak </w:t>
      </w:r>
      <w:proofErr w:type="gramStart"/>
      <w:r w:rsidRPr="00C12041">
        <w:t>ia</w:t>
      </w:r>
      <w:proofErr w:type="gramEnd"/>
      <w:r w:rsidRPr="00C12041">
        <w:t xml:space="preserve"> termasuk riba dan riba itu sedikit atau banyak hukumnya haram.</w:t>
      </w:r>
    </w:p>
    <w:p w:rsidR="00A60B2E" w:rsidRPr="00C12041" w:rsidRDefault="00A60B2E" w:rsidP="00762FB4">
      <w:pPr>
        <w:numPr>
          <w:ilvl w:val="0"/>
          <w:numId w:val="18"/>
        </w:numPr>
        <w:spacing w:line="360" w:lineRule="auto"/>
        <w:ind w:left="426" w:hanging="426"/>
        <w:jc w:val="both"/>
      </w:pPr>
      <w:r w:rsidRPr="00C12041">
        <w:t>Diusulkan supaya dibentuk suatu bank syariah yang bersih dari sistem riba dalam waktu secepat mungkin.</w:t>
      </w:r>
    </w:p>
    <w:p w:rsidR="00A60B2E" w:rsidRPr="00C12041" w:rsidRDefault="00A60B2E" w:rsidP="00762FB4">
      <w:pPr>
        <w:numPr>
          <w:ilvl w:val="0"/>
          <w:numId w:val="18"/>
        </w:numPr>
        <w:spacing w:line="360" w:lineRule="auto"/>
        <w:ind w:left="426" w:hanging="426"/>
        <w:jc w:val="both"/>
      </w:pPr>
      <w:r w:rsidRPr="00C12041">
        <w:t>Sementara menunggu berdirinya bank syariah, bank-bank yang menerapkan bunga diperbolehkan beroperasi. Namun jika benar-benar dalam keadaan darurat.</w:t>
      </w:r>
    </w:p>
    <w:p w:rsidR="00A60B2E" w:rsidRPr="00C12041" w:rsidRDefault="00A60B2E" w:rsidP="00C12041">
      <w:pPr>
        <w:spacing w:line="360" w:lineRule="auto"/>
        <w:ind w:firstLine="567"/>
        <w:jc w:val="both"/>
      </w:pPr>
      <w:r w:rsidRPr="00C12041">
        <w:t>Pembentukan bank syariah semula memang banyak diragukan, sebab:</w:t>
      </w:r>
    </w:p>
    <w:p w:rsidR="00A60B2E" w:rsidRPr="00C12041" w:rsidRDefault="00A60B2E" w:rsidP="00762FB4">
      <w:pPr>
        <w:numPr>
          <w:ilvl w:val="0"/>
          <w:numId w:val="19"/>
        </w:numPr>
        <w:spacing w:line="360" w:lineRule="auto"/>
        <w:ind w:left="426" w:hanging="426"/>
        <w:jc w:val="both"/>
      </w:pPr>
      <w:r w:rsidRPr="00C12041">
        <w:t>Banyak yang beranggapan bahwa sistem perbankan bebas bunga (</w:t>
      </w:r>
      <w:r w:rsidRPr="00C12041">
        <w:rPr>
          <w:i/>
          <w:iCs/>
        </w:rPr>
        <w:t>interest free</w:t>
      </w:r>
      <w:r w:rsidRPr="00C12041">
        <w:t>) adalah suatu yang tak mungkin dan tidak lazim.</w:t>
      </w:r>
    </w:p>
    <w:p w:rsidR="00A60B2E" w:rsidRPr="00C12041" w:rsidRDefault="00A60B2E" w:rsidP="00762FB4">
      <w:pPr>
        <w:numPr>
          <w:ilvl w:val="0"/>
          <w:numId w:val="19"/>
        </w:numPr>
        <w:spacing w:line="360" w:lineRule="auto"/>
        <w:ind w:left="426" w:hanging="426"/>
        <w:jc w:val="both"/>
      </w:pPr>
      <w:r w:rsidRPr="00C12041">
        <w:t xml:space="preserve">Adanya pertanyaan tentang bagaimana bank </w:t>
      </w:r>
      <w:proofErr w:type="gramStart"/>
      <w:r w:rsidRPr="00C12041">
        <w:t>akan</w:t>
      </w:r>
      <w:proofErr w:type="gramEnd"/>
      <w:r w:rsidRPr="00C12041">
        <w:t xml:space="preserve"> membiayai operasinya. Tetapi di lain pihak, bank Islam adalah satu </w:t>
      </w:r>
      <w:r w:rsidR="00C12041">
        <w:t>alternative sistem ekonomi Isla</w:t>
      </w:r>
      <w:r w:rsidR="00C12041">
        <w:rPr>
          <w:lang w:val="id-ID"/>
        </w:rPr>
        <w:t>m</w:t>
      </w:r>
      <w:r w:rsidR="00762FB4">
        <w:rPr>
          <w:lang w:val="id-ID"/>
        </w:rPr>
        <w:t xml:space="preserve"> </w:t>
      </w:r>
      <w:r w:rsidR="00762FB4">
        <w:rPr>
          <w:lang w:val="id-ID"/>
        </w:rPr>
        <w:fldChar w:fldCharType="begin" w:fldLock="1"/>
      </w:r>
      <w:r w:rsidR="00AD31BA">
        <w:rPr>
          <w:lang w:val="id-ID"/>
        </w:rPr>
        <w:instrText>ADDIN CSL_CITATION { "citationItems" : [ { "id" : "ITEM-1", "itemData" : { "abstract" : "Sharia banking in Indonesia has approached 24 years of age. This age implies that it such sharia banking has shifted to maturity phase. It has developed significantly compared to that of previous years. It can be observed from its average growth of its assets, DPK, PYD which is 45% higher than the years of 2000 up to 2014. However, it is expected that it must able to make use of opportunities which are presently available to encounter challenges in the future, Consequently, it should be able to take advantage of supports and contributions of other such related parties as government, ulama, society, academicians, and students majoring in sharia banking as well.", "author" : [ { "dropping-particle" : "", "family" : "Nofinawati", "given" : "", "non-dropping-particle" : "", "parse-names" : false, "suffix" : "" } ], "container-title" : "Jurnal JURIS", "id" : "ITEM-1", "issue" : "2", "issued" : { "date-parts" : [ [ "2015" ] ] }, "page" : "168-183", "title" : "Perkembangan perbankan syariah di indonesia", "type" : "article-journal", "volume" : "14" }, "uris" : [ "http://www.mendeley.com/documents/?uuid=425fc8f5-5746-40d1-9035-a778b00e69a4" ] } ], "mendeley" : { "formattedCitation" : "(Nofinawati 2015)", "manualFormatting" : "(Nofinawati, 2015)", "plainTextFormattedCitation" : "(Nofinawati 2015)", "previouslyFormattedCitation" : "(Nofinawati 2015)" }, "properties" : { "noteIndex" : 0 }, "schema" : "https://github.com/citation-style-language/schema/raw/master/csl-citation.json" }</w:instrText>
      </w:r>
      <w:r w:rsidR="00762FB4">
        <w:rPr>
          <w:lang w:val="id-ID"/>
        </w:rPr>
        <w:fldChar w:fldCharType="separate"/>
      </w:r>
      <w:r w:rsidR="00762FB4" w:rsidRPr="00762FB4">
        <w:rPr>
          <w:noProof/>
          <w:lang w:val="id-ID"/>
        </w:rPr>
        <w:t>(Nofinawati</w:t>
      </w:r>
      <w:r w:rsidR="00762FB4">
        <w:rPr>
          <w:noProof/>
          <w:lang w:val="id-ID"/>
        </w:rPr>
        <w:t>, 2015</w:t>
      </w:r>
      <w:r w:rsidR="00762FB4" w:rsidRPr="00762FB4">
        <w:rPr>
          <w:noProof/>
          <w:lang w:val="id-ID"/>
        </w:rPr>
        <w:t>)</w:t>
      </w:r>
      <w:r w:rsidR="00762FB4">
        <w:rPr>
          <w:lang w:val="id-ID"/>
        </w:rPr>
        <w:fldChar w:fldCharType="end"/>
      </w:r>
      <w:r w:rsidRPr="00C12041">
        <w:t>.</w:t>
      </w:r>
    </w:p>
    <w:p w:rsidR="00A60B2E" w:rsidRPr="00762FB4" w:rsidRDefault="00A60B2E" w:rsidP="00762FB4">
      <w:pPr>
        <w:spacing w:line="360" w:lineRule="auto"/>
        <w:ind w:firstLine="709"/>
        <w:jc w:val="both"/>
      </w:pPr>
      <w:r w:rsidRPr="00762FB4">
        <w:t>Selain diselenggarakan nya konferensi tingkat Internasional yang diadakan di Kuala Lumpur, Malaysia. Untuk lebih mempermudah berkembangnya bank syariah di negara-negara muslim perlu ada usaha bersama di antara Negara muslim maka pada Desember 1970, dalam Sidang Menteri Luar Negeri negara-negara Organisasi Konferensi Islam (OKI) di Karachi, Pakistan, delegasi dari negara Mesir mengajukan proposal untuk didirikannya bank syariah untuk Perdagangan dan Pembangunan (</w:t>
      </w:r>
      <w:r w:rsidRPr="00762FB4">
        <w:rPr>
          <w:i/>
          <w:iCs/>
        </w:rPr>
        <w:t>International Islamic Bank for Trade and Development</w:t>
      </w:r>
      <w:r w:rsidRPr="00762FB4">
        <w:t>) dan proposal pendirian Federasi Bank Islam (</w:t>
      </w:r>
      <w:r w:rsidRPr="00762FB4">
        <w:rPr>
          <w:i/>
          <w:iCs/>
        </w:rPr>
        <w:t>Federation of Islamic Bank</w:t>
      </w:r>
      <w:r w:rsidRPr="00762FB4">
        <w:t xml:space="preserve">) sehingga dikaji para ahli dari 18 negara Islam. </w:t>
      </w:r>
    </w:p>
    <w:p w:rsidR="00A60B2E" w:rsidRPr="00762FB4" w:rsidRDefault="00A60B2E" w:rsidP="00762FB4">
      <w:pPr>
        <w:spacing w:line="360" w:lineRule="auto"/>
        <w:ind w:firstLine="709"/>
        <w:jc w:val="both"/>
        <w:rPr>
          <w:lang w:val="id-ID"/>
        </w:rPr>
      </w:pPr>
      <w:r w:rsidRPr="00762FB4">
        <w:t xml:space="preserve">Pada Maret 1973 di Benghazi, Libya kembali usulan tersebut diagendakan oleh menteri-menteri luar negeri dalam agenda Organisasi Konferensi Islam (OKI) dimana sidang tersebut merumuskan supaya Organisasi Konferensi Islam (OKI) memiliki suatu lembaga yang menangani dalam bidang permasalahan keuangan dan ekonomi. </w:t>
      </w:r>
      <w:proofErr w:type="gramStart"/>
      <w:r w:rsidRPr="00762FB4">
        <w:t>Sedangkan pada bulan Juli 1973, kembali membicarakan pendirian bank syariah yang diwakili negara-negara Islam penghasil minyak bertemu di Jeddah, Arab Saudi.</w:t>
      </w:r>
      <w:proofErr w:type="gramEnd"/>
      <w:r w:rsidRPr="00762FB4">
        <w:t xml:space="preserve"> </w:t>
      </w:r>
      <w:proofErr w:type="gramStart"/>
      <w:r w:rsidRPr="00762FB4">
        <w:t>Pendirian bank tersebut, berupa anggaran dasar dan anggaran rumah tangga.</w:t>
      </w:r>
      <w:proofErr w:type="gramEnd"/>
      <w:r w:rsidRPr="00762FB4">
        <w:t xml:space="preserve"> Pada Mei 1974 di Jeddah pertemuan kedua kali nya untuk sidang Menteri Keuangan Organisasi Konferensi Islam (OKI) dan disetujui untuk pendirian Bank Pembangunan Islam atau </w:t>
      </w:r>
      <w:r w:rsidRPr="00762FB4">
        <w:rPr>
          <w:i/>
          <w:iCs/>
        </w:rPr>
        <w:t xml:space="preserve">Islamic Development Bank </w:t>
      </w:r>
      <w:r w:rsidRPr="00762FB4">
        <w:t>(IDB) dengan modal l2 miliar dinar atau ekuivalen 2 miliar SDR (</w:t>
      </w:r>
      <w:r w:rsidRPr="00762FB4">
        <w:rPr>
          <w:i/>
          <w:iCs/>
        </w:rPr>
        <w:t>special drawing right</w:t>
      </w:r>
      <w:r w:rsidRPr="00762FB4">
        <w:t>) IMF (</w:t>
      </w:r>
      <w:r w:rsidRPr="00762FB4">
        <w:rPr>
          <w:i/>
          <w:iCs/>
        </w:rPr>
        <w:t>International Monetary Fund</w:t>
      </w:r>
      <w:r w:rsidRPr="00762FB4">
        <w:t xml:space="preserve">). </w:t>
      </w:r>
      <w:proofErr w:type="gramStart"/>
      <w:r w:rsidRPr="00762FB4">
        <w:t xml:space="preserve">Dengan berdirinya </w:t>
      </w:r>
      <w:r w:rsidRPr="00762FB4">
        <w:rPr>
          <w:i/>
          <w:iCs/>
        </w:rPr>
        <w:t xml:space="preserve">Islamic Development Bank </w:t>
      </w:r>
      <w:r w:rsidRPr="00762FB4">
        <w:t>(IDB) memotivasi negara-negara Islam dunia untuk mendirikan lembaga keuangan syariah.</w:t>
      </w:r>
      <w:proofErr w:type="gramEnd"/>
      <w:r w:rsidRPr="00762FB4">
        <w:t xml:space="preserve"> Akhir periode 1970-an dan awal 1980-an, lembaga keuangan syariah didirikan di Mesir, Sudan, </w:t>
      </w:r>
      <w:r w:rsidRPr="00762FB4">
        <w:lastRenderedPageBreak/>
        <w:t>Pakistan, Iran, Malaysia, serta Turki termasuk Indonesia pada periode 1990-an.</w:t>
      </w:r>
      <w:r w:rsidRPr="00762FB4">
        <w:rPr>
          <w:b/>
        </w:rPr>
        <w:t xml:space="preserve"> </w:t>
      </w:r>
      <w:r w:rsidRPr="00762FB4">
        <w:t>Ada juga negara-negara non-muslim yang mendirikan bank Islam, seperti Swiss, Luxemburg, Inggr</w:t>
      </w:r>
      <w:r w:rsidR="00762FB4">
        <w:t>is, Bahamas (Benon) dan Denmark</w:t>
      </w:r>
      <w:r w:rsidR="00762FB4">
        <w:rPr>
          <w:lang w:val="id-ID"/>
        </w:rPr>
        <w:t xml:space="preserve"> </w:t>
      </w:r>
      <w:r w:rsidR="00762FB4">
        <w:fldChar w:fldCharType="begin" w:fldLock="1"/>
      </w:r>
      <w:r w:rsidR="00AD31BA">
        <w:instrText>ADDIN CSL_CITATION { "citationItems" : [ { "id" : "ITEM-1", "itemData" : { "abstract" : "Sharia banking in Indonesia has approached 24 years of age. This age implies that it such sharia banking has shifted to maturity phase. It has developed significantly compared to that of previous years. It can be observed from its average growth of its assets, DPK, PYD which is 45% higher than the years of 2000 up to 2014. However, it is expected that it must able to make use of opportunities which are presently available to encounter challenges in the future, Consequently, it should be able to take advantage of supports and contributions of other such related parties as government, ulama, society, academicians, and students majoring in sharia banking as well.", "author" : [ { "dropping-particle" : "", "family" : "Nofinawati", "given" : "", "non-dropping-particle" : "", "parse-names" : false, "suffix" : "" } ], "container-title" : "Jurnal JURIS", "id" : "ITEM-1", "issue" : "2", "issued" : { "date-parts" : [ [ "2015" ] ] }, "page" : "168-183", "title" : "Perkembangan perbankan syariah di indonesia", "type" : "article-journal", "volume" : "14" }, "uris" : [ "http://www.mendeley.com/documents/?uuid=425fc8f5-5746-40d1-9035-a778b00e69a4" ] } ], "mendeley" : { "formattedCitation" : "(Nofinawati 2015)", "manualFormatting" : "(Nofinawati, 2015)", "plainTextFormattedCitation" : "(Nofinawati 2015)", "previouslyFormattedCitation" : "(Nofinawati 2015)" }, "properties" : { "noteIndex" : 0 }, "schema" : "https://github.com/citation-style-language/schema/raw/master/csl-citation.json" }</w:instrText>
      </w:r>
      <w:r w:rsidR="00762FB4">
        <w:fldChar w:fldCharType="separate"/>
      </w:r>
      <w:r w:rsidR="00762FB4" w:rsidRPr="00762FB4">
        <w:rPr>
          <w:noProof/>
        </w:rPr>
        <w:t>(Nofinawati</w:t>
      </w:r>
      <w:r w:rsidR="00762FB4">
        <w:rPr>
          <w:noProof/>
          <w:lang w:val="id-ID"/>
        </w:rPr>
        <w:t>, 2015</w:t>
      </w:r>
      <w:r w:rsidR="00762FB4" w:rsidRPr="00762FB4">
        <w:rPr>
          <w:noProof/>
        </w:rPr>
        <w:t>)</w:t>
      </w:r>
      <w:r w:rsidR="00762FB4">
        <w:fldChar w:fldCharType="end"/>
      </w:r>
      <w:r w:rsidR="00762FB4">
        <w:rPr>
          <w:lang w:val="id-ID"/>
        </w:rPr>
        <w:t>.</w:t>
      </w:r>
    </w:p>
    <w:p w:rsidR="00A60B2E" w:rsidRPr="00762FB4" w:rsidRDefault="00762FB4" w:rsidP="00762FB4">
      <w:pPr>
        <w:spacing w:line="360" w:lineRule="auto"/>
        <w:ind w:firstLine="709"/>
        <w:jc w:val="both"/>
      </w:pPr>
      <w:r>
        <w:rPr>
          <w:bCs/>
        </w:rPr>
        <w:t>Dalam penelitian</w:t>
      </w:r>
      <w:r>
        <w:rPr>
          <w:bCs/>
          <w:lang w:val="id-ID"/>
        </w:rPr>
        <w:t xml:space="preserve"> </w:t>
      </w:r>
      <w:r>
        <w:rPr>
          <w:bCs/>
        </w:rPr>
        <w:fldChar w:fldCharType="begin" w:fldLock="1"/>
      </w:r>
      <w:r w:rsidR="00AD31BA">
        <w:rPr>
          <w:bCs/>
        </w:rPr>
        <w:instrText>ADDIN CSL_CITATION { "citationItems" : [ { "id" : "ITEM-1", "itemData" : { "abstract" : "Sharia banking in Indonesia has approached 24 years of age. This age implies that it such sharia banking has shifted to maturity phase. It has developed significantly compared to that of previous years. It can be observed from its average growth of its assets, DPK, PYD which is 45% higher than the years of 2000 up to 2014. However, it is expected that it must able to make use of opportunities which are presently available to encounter challenges in the future, Consequently, it should be able to take advantage of supports and contributions of other such related parties as government, ulama, society, academicians, and students majoring in sharia banking as well.", "author" : [ { "dropping-particle" : "", "family" : "Nofinawati", "given" : "", "non-dropping-particle" : "", "parse-names" : false, "suffix" : "" } ], "container-title" : "Jurnal JURIS", "id" : "ITEM-1", "issue" : "2", "issued" : { "date-parts" : [ [ "2015" ] ] }, "page" : "168-183", "title" : "Perkembangan perbankan syariah di indonesia", "type" : "article-journal", "volume" : "14" }, "uris" : [ "http://www.mendeley.com/documents/?uuid=425fc8f5-5746-40d1-9035-a778b00e69a4" ] } ], "mendeley" : { "formattedCitation" : "(Nofinawati 2015)", "manualFormatting" : "Nofinawati (2015)", "plainTextFormattedCitation" : "(Nofinawati 2015)", "previouslyFormattedCitation" : "(Nofinawati 2015)" }, "properties" : { "noteIndex" : 0 }, "schema" : "https://github.com/citation-style-language/schema/raw/master/csl-citation.json" }</w:instrText>
      </w:r>
      <w:r>
        <w:rPr>
          <w:bCs/>
        </w:rPr>
        <w:fldChar w:fldCharType="separate"/>
      </w:r>
      <w:r w:rsidRPr="00762FB4">
        <w:rPr>
          <w:bCs/>
          <w:noProof/>
        </w:rPr>
        <w:t>Nofinawati</w:t>
      </w:r>
      <w:r>
        <w:rPr>
          <w:bCs/>
          <w:noProof/>
          <w:lang w:val="id-ID"/>
        </w:rPr>
        <w:t xml:space="preserve"> (2015</w:t>
      </w:r>
      <w:r w:rsidRPr="00762FB4">
        <w:rPr>
          <w:bCs/>
          <w:noProof/>
        </w:rPr>
        <w:t>)</w:t>
      </w:r>
      <w:r>
        <w:rPr>
          <w:bCs/>
        </w:rPr>
        <w:fldChar w:fldCharType="end"/>
      </w:r>
      <w:r>
        <w:rPr>
          <w:bCs/>
          <w:lang w:val="id-ID"/>
        </w:rPr>
        <w:t xml:space="preserve"> </w:t>
      </w:r>
      <w:r w:rsidR="00A60B2E" w:rsidRPr="00762FB4">
        <w:rPr>
          <w:bCs/>
        </w:rPr>
        <w:t xml:space="preserve">menyatakan bahwa </w:t>
      </w:r>
      <w:r w:rsidR="00A60B2E" w:rsidRPr="00762FB4">
        <w:t xml:space="preserve">seiring dengan berkembang pesat bank syariah menyebabkan bank konvensional tertarik untuk menawarkan produk bank syariah, hal ini tercermin dari tidakan bank konvensional untuk membuka sistem di masing-masing bank dalam menawarkan produk-produk bank syariah suatu contoh di Malaysia adanya produk </w:t>
      </w:r>
      <w:r w:rsidR="00A60B2E" w:rsidRPr="00762FB4">
        <w:rPr>
          <w:i/>
          <w:iCs/>
        </w:rPr>
        <w:t xml:space="preserve">“Islamic windows”, </w:t>
      </w:r>
      <w:r w:rsidR="00A60B2E" w:rsidRPr="00762FB4">
        <w:rPr>
          <w:iCs/>
        </w:rPr>
        <w:t xml:space="preserve">di Mesir dengan produk </w:t>
      </w:r>
      <w:r w:rsidR="00A60B2E" w:rsidRPr="00762FB4">
        <w:rPr>
          <w:i/>
          <w:iCs/>
        </w:rPr>
        <w:t xml:space="preserve">"the Islamic transactions", </w:t>
      </w:r>
      <w:r w:rsidR="00A60B2E" w:rsidRPr="00762FB4">
        <w:t xml:space="preserve">bank perdagangan Arab Saudi dengan produk </w:t>
      </w:r>
      <w:r w:rsidR="00A60B2E" w:rsidRPr="00762FB4">
        <w:rPr>
          <w:i/>
          <w:iCs/>
        </w:rPr>
        <w:t>"the Islamic services"</w:t>
      </w:r>
      <w:r w:rsidR="00A60B2E" w:rsidRPr="00762FB4">
        <w:rPr>
          <w:iCs/>
        </w:rPr>
        <w:t xml:space="preserve"> dan pada tahun 1996 Citibank </w:t>
      </w:r>
      <w:r w:rsidR="00A60B2E" w:rsidRPr="00762FB4">
        <w:t xml:space="preserve">di Bahrain mendirikan Citi Islamic Investment yang merupakan </w:t>
      </w:r>
      <w:r w:rsidR="00A60B2E" w:rsidRPr="00762FB4">
        <w:rPr>
          <w:i/>
          <w:iCs/>
        </w:rPr>
        <w:t>wholly-owned subsidiary</w:t>
      </w:r>
      <w:r w:rsidR="00A60B2E" w:rsidRPr="00762FB4">
        <w:t>.</w:t>
      </w:r>
    </w:p>
    <w:p w:rsidR="00AD2C19" w:rsidRPr="00AD2C19" w:rsidRDefault="00AD2C19" w:rsidP="00AD2C19">
      <w:pPr>
        <w:rPr>
          <w:lang w:val="id-ID" w:eastAsia="id-ID"/>
        </w:rPr>
      </w:pPr>
    </w:p>
    <w:p w:rsidR="00A31F09" w:rsidRDefault="00A31F09" w:rsidP="007C733B">
      <w:pPr>
        <w:spacing w:line="360" w:lineRule="auto"/>
        <w:jc w:val="both"/>
        <w:rPr>
          <w:b/>
          <w:color w:val="000000"/>
          <w:lang w:val="id-ID"/>
        </w:rPr>
      </w:pPr>
      <w:r w:rsidRPr="00872F7B">
        <w:rPr>
          <w:b/>
          <w:color w:val="000000"/>
        </w:rPr>
        <w:t>PERBANKAN SYARIAH DI INDONESIA</w:t>
      </w:r>
    </w:p>
    <w:p w:rsidR="00352DB4" w:rsidRPr="005C0DB4" w:rsidRDefault="00404B5B" w:rsidP="005C0DB4">
      <w:pPr>
        <w:spacing w:line="360" w:lineRule="auto"/>
        <w:ind w:firstLine="720"/>
        <w:jc w:val="both"/>
        <w:rPr>
          <w:b/>
          <w:color w:val="000000"/>
          <w:lang w:val="id-ID"/>
        </w:rPr>
      </w:pPr>
      <w:r w:rsidRPr="00404B5B">
        <w:rPr>
          <w:rFonts w:ascii="TimesNewRomanPSMT" w:hAnsi="TimesNewRomanPSMT"/>
          <w:color w:val="000000"/>
        </w:rPr>
        <w:t>Perkembangan perekonomian</w:t>
      </w:r>
      <w:r>
        <w:rPr>
          <w:rFonts w:ascii="TimesNewRomanPSMT" w:hAnsi="TimesNewRomanPSMT"/>
          <w:color w:val="000000"/>
          <w:lang w:val="id-ID"/>
        </w:rPr>
        <w:t xml:space="preserve"> </w:t>
      </w:r>
      <w:r w:rsidRPr="00404B5B">
        <w:rPr>
          <w:rFonts w:ascii="TimesNewRomanPSMT" w:hAnsi="TimesNewRomanPSMT"/>
          <w:color w:val="000000"/>
        </w:rPr>
        <w:t>nasional yang dihadapi dunia usaha</w:t>
      </w:r>
      <w:r>
        <w:rPr>
          <w:rFonts w:ascii="TimesNewRomanPSMT" w:hAnsi="TimesNewRomanPSMT"/>
          <w:color w:val="000000"/>
          <w:lang w:val="id-ID"/>
        </w:rPr>
        <w:t xml:space="preserve"> </w:t>
      </w:r>
      <w:r w:rsidRPr="00404B5B">
        <w:rPr>
          <w:rFonts w:ascii="TimesNewRomanPSMT" w:hAnsi="TimesNewRomanPSMT"/>
          <w:color w:val="000000"/>
        </w:rPr>
        <w:t>saat ini sangat cepat dan</w:t>
      </w:r>
      <w:r>
        <w:rPr>
          <w:rFonts w:ascii="TimesNewRomanPSMT" w:hAnsi="TimesNewRomanPSMT"/>
          <w:color w:val="000000"/>
          <w:lang w:val="id-ID"/>
        </w:rPr>
        <w:t xml:space="preserve"> </w:t>
      </w:r>
      <w:r w:rsidRPr="00404B5B">
        <w:rPr>
          <w:rFonts w:ascii="TimesNewRomanPSMT" w:hAnsi="TimesNewRomanPSMT"/>
          <w:color w:val="000000"/>
        </w:rPr>
        <w:t>dinamis</w:t>
      </w:r>
      <w:r w:rsidR="005C0DB4">
        <w:rPr>
          <w:rFonts w:ascii="TimesNewRomanPSMT" w:hAnsi="TimesNewRomanPSMT"/>
          <w:color w:val="000000"/>
          <w:lang w:val="id-ID"/>
        </w:rPr>
        <w:t xml:space="preserve"> </w:t>
      </w:r>
      <w:r w:rsidR="005C0DB4">
        <w:rPr>
          <w:rFonts w:ascii="TimesNewRomanPSMT" w:hAnsi="TimesNewRomanPSMT"/>
          <w:color w:val="000000"/>
        </w:rPr>
        <w:fldChar w:fldCharType="begin" w:fldLock="1"/>
      </w:r>
      <w:r w:rsidR="00AD31BA">
        <w:rPr>
          <w:rFonts w:ascii="TimesNewRomanPSMT" w:hAnsi="TimesNewRomanPSMT"/>
          <w:color w:val="000000"/>
        </w:rPr>
        <w:instrText>ADDIN CSL_CITATION { "citationItems" : [ { "id" : "ITEM-1", "itemData" : { "abstract" : "The objective of the research was to find out the influence of independet variables (the variable of system quality the variable of information quality, the variable of service quality, and the variable of performance expectancy) simultaneously and partially had the influence on dependent variable (users\u2019 satisfaction). The population was 300 cooperatives at Pematangsiantar, and 225 of them were used as the samples, taken by using purposive sampling technique. The data were processed by using multiple linier regression analysis with an SPSS software program. The result of the hypothesis showed that independent variables (the variable of system quality, the variable of information quality, the variable of service quality and the variable of performance expectation) simultaneously had significant influence on dependent variable (the variable of users\u2019 satisfaction) at the cooperatives, Pematangsiantar. Partially, the variable of system quality, the variable of service quality and the variable of performance expectation had positive and significant influence on user\u2019s satisfaction at the cooperatives, Pematangsiantar, but the variable of information quality did no have any influence on users\u2019 satisfaction at the cooperative, Pematangsiantar", "author" : [ { "dropping-particle" : "", "family" : "Suhendro", "given" : "Dedi", "non-dropping-particle" : "", "parse-names" : false, "suffix" : "" } ], "container-title" : "JURASIK (Jurnal Riset Sistem Informasi &amp; Teknik Informatika)", "id" : "ITEM-1", "issue" : "1", "issued" : { "date-parts" : [ [ "2016" ] ] }, "page" : "33-40", "title" : "Pengaruh Kualitas Sistem, Kualitas Informasi, Kualitas Pelayanan Dan Ekspektasi Kinerja Terhadap Kepuasan Pengguna Dalam Penerapan Sistem Teknologi Informasi Pada Koperasi Di Kota Pematang Siantar", "type" : "article-journal", "volume" : "1" }, "uris" : [ "http://www.mendeley.com/documents/?uuid=bf49e66f-b828-432f-9a3c-ed1fa3642273" ] } ], "mendeley" : { "formattedCitation" : "(Suhendro 2016)", "manualFormatting" : "(Suhendro, 2016)", "plainTextFormattedCitation" : "(Suhendro 2016)", "previouslyFormattedCitation" : "(Suhendro 2016)" }, "properties" : { "noteIndex" : 0 }, "schema" : "https://github.com/citation-style-language/schema/raw/master/csl-citation.json" }</w:instrText>
      </w:r>
      <w:r w:rsidR="005C0DB4">
        <w:rPr>
          <w:rFonts w:ascii="TimesNewRomanPSMT" w:hAnsi="TimesNewRomanPSMT"/>
          <w:color w:val="000000"/>
        </w:rPr>
        <w:fldChar w:fldCharType="separate"/>
      </w:r>
      <w:r w:rsidR="005C0DB4" w:rsidRPr="005C0DB4">
        <w:rPr>
          <w:rFonts w:ascii="TimesNewRomanPSMT" w:hAnsi="TimesNewRomanPSMT"/>
          <w:noProof/>
          <w:color w:val="000000"/>
        </w:rPr>
        <w:t>(Suhendro</w:t>
      </w:r>
      <w:r w:rsidR="00AD31BA">
        <w:rPr>
          <w:rFonts w:ascii="TimesNewRomanPSMT" w:hAnsi="TimesNewRomanPSMT"/>
          <w:noProof/>
          <w:color w:val="000000"/>
          <w:lang w:val="id-ID"/>
        </w:rPr>
        <w:t>,</w:t>
      </w:r>
      <w:r w:rsidR="005C0DB4" w:rsidRPr="005C0DB4">
        <w:rPr>
          <w:rFonts w:ascii="TimesNewRomanPSMT" w:hAnsi="TimesNewRomanPSMT"/>
          <w:noProof/>
          <w:color w:val="000000"/>
        </w:rPr>
        <w:t xml:space="preserve"> 2016)</w:t>
      </w:r>
      <w:r w:rsidR="005C0DB4">
        <w:rPr>
          <w:rFonts w:ascii="TimesNewRomanPSMT" w:hAnsi="TimesNewRomanPSMT"/>
          <w:color w:val="000000"/>
        </w:rPr>
        <w:fldChar w:fldCharType="end"/>
      </w:r>
      <w:r w:rsidRPr="00404B5B">
        <w:rPr>
          <w:rFonts w:ascii="TimesNewRomanPSMT" w:hAnsi="TimesNewRomanPSMT"/>
          <w:color w:val="000000"/>
        </w:rPr>
        <w:t>.</w:t>
      </w:r>
      <w:r w:rsidR="005C0DB4">
        <w:rPr>
          <w:b/>
          <w:color w:val="000000"/>
          <w:lang w:val="id-ID"/>
        </w:rPr>
        <w:t xml:space="preserve"> </w:t>
      </w:r>
      <w:proofErr w:type="gramStart"/>
      <w:r w:rsidR="00A31F09" w:rsidRPr="00872F7B">
        <w:rPr>
          <w:color w:val="000000"/>
        </w:rPr>
        <w:t>Awal mulanya perbankan hanya ada di Eropa yang penyebarannya sampai ke Asia Barat, karena perluasan dan perkembangan dari daerah jajahan maka sistem perbankan banyak diterapkan pada negara jajahannya.</w:t>
      </w:r>
      <w:proofErr w:type="gramEnd"/>
      <w:r w:rsidR="00A31F09" w:rsidRPr="00872F7B">
        <w:rPr>
          <w:color w:val="000000"/>
        </w:rPr>
        <w:t xml:space="preserve"> </w:t>
      </w:r>
      <w:proofErr w:type="gramStart"/>
      <w:r w:rsidR="00A31F09" w:rsidRPr="00872F7B">
        <w:rPr>
          <w:color w:val="000000"/>
        </w:rPr>
        <w:t xml:space="preserve">Sama halnya dengan negara yang pernah dijajah oleh negara Belanda, sehingga negara Belanda mendirikan bank seperti </w:t>
      </w:r>
      <w:r w:rsidR="00A31F09" w:rsidRPr="00872F7B">
        <w:rPr>
          <w:i/>
          <w:iCs/>
          <w:color w:val="000000"/>
        </w:rPr>
        <w:t xml:space="preserve">De Post Paar Bank, De Javasche Bank </w:t>
      </w:r>
      <w:r w:rsidR="00A31F09" w:rsidRPr="00872F7B">
        <w:rPr>
          <w:iCs/>
          <w:color w:val="000000"/>
        </w:rPr>
        <w:t>serta masih ada lagi bank-bank milik bangsa Indonesia sendiri.</w:t>
      </w:r>
      <w:proofErr w:type="gramEnd"/>
      <w:r w:rsidR="00A31F09" w:rsidRPr="00872F7B">
        <w:rPr>
          <w:iCs/>
          <w:color w:val="000000"/>
        </w:rPr>
        <w:t xml:space="preserve"> Perbankan</w:t>
      </w:r>
      <w:r w:rsidR="00A31F09" w:rsidRPr="001130E4">
        <w:rPr>
          <w:iCs/>
          <w:color w:val="000000"/>
        </w:rPr>
        <w:t xml:space="preserve"> Indonesia sudah menunjukkan kemajuan pada zaman kemerdekaan baik bank yang didirikan oleh pemerintah maupun bank milik </w:t>
      </w:r>
      <w:r w:rsidR="00A31F09" w:rsidRPr="0051004D">
        <w:rPr>
          <w:iCs/>
          <w:color w:val="000000"/>
        </w:rPr>
        <w:t>swasta</w:t>
      </w:r>
      <w:r w:rsidR="00A31F09">
        <w:rPr>
          <w:iCs/>
          <w:color w:val="000000"/>
        </w:rPr>
        <w:t xml:space="preserve"> </w:t>
      </w:r>
      <w:r w:rsidR="00A31F09">
        <w:rPr>
          <w:color w:val="000000"/>
        </w:rPr>
        <w:fldChar w:fldCharType="begin" w:fldLock="1"/>
      </w:r>
      <w:r w:rsidR="00AD31BA">
        <w:rPr>
          <w:color w:val="000000"/>
        </w:rPr>
        <w:instrText>ADDIN CSL_CITATION { "citationItems" : [ { "id" : "ITEM-1", "itemData" : { "abstract" : "Sharia banking in Indonesia has approached 24 years of age. This age implies that it such sharia banking has shifted to maturity phase. It has developed significantly compared to that of previous years. It can be observed from its average growth of its assets, DPK, PYD which is 45% higher than the years of 2000 up to 2014. However, it is expected that it must able to make use of opportunities which are presently available to encounter challenges in the future, Consequently, it should be able to take advantage of supports and contributions of other such related parties as government, ulama, society, academicians, and students majoring in sharia banking as well.", "author" : [ { "dropping-particle" : "", "family" : "Nofinawati", "given" : "", "non-dropping-particle" : "", "parse-names" : false, "suffix" : "" } ], "container-title" : "Jurnal JURIS", "id" : "ITEM-1", "issue" : "2", "issued" : { "date-parts" : [ [ "2015" ] ] }, "page" : "168-183", "title" : "Perkembangan perbankan syariah di indonesia", "type" : "article-journal", "volume" : "14" }, "uris" : [ "http://www.mendeley.com/documents/?uuid=425fc8f5-5746-40d1-9035-a778b00e69a4" ] } ], "mendeley" : { "formattedCitation" : "(Nofinawati 2015)", "manualFormatting" : "(Nofinawati, 2015)", "plainTextFormattedCitation" : "(Nofinawati 2015)", "previouslyFormattedCitation" : "(Nofinawati 2015)" }, "properties" : { "noteIndex" : 0 }, "schema" : "https://github.com/citation-style-language/schema/raw/master/csl-citation.json" }</w:instrText>
      </w:r>
      <w:r w:rsidR="00A31F09">
        <w:rPr>
          <w:color w:val="000000"/>
        </w:rPr>
        <w:fldChar w:fldCharType="separate"/>
      </w:r>
      <w:r w:rsidR="007C733B" w:rsidRPr="007C733B">
        <w:rPr>
          <w:noProof/>
          <w:color w:val="000000"/>
        </w:rPr>
        <w:t>(Nofinawati</w:t>
      </w:r>
      <w:r w:rsidR="007C733B">
        <w:rPr>
          <w:noProof/>
          <w:color w:val="000000"/>
          <w:lang w:val="id-ID"/>
        </w:rPr>
        <w:t>, 2015</w:t>
      </w:r>
      <w:r w:rsidR="007C733B" w:rsidRPr="007C733B">
        <w:rPr>
          <w:noProof/>
          <w:color w:val="000000"/>
        </w:rPr>
        <w:t>)</w:t>
      </w:r>
      <w:r w:rsidR="00A31F09">
        <w:rPr>
          <w:color w:val="000000"/>
        </w:rPr>
        <w:fldChar w:fldCharType="end"/>
      </w:r>
      <w:r w:rsidR="00A31F09">
        <w:rPr>
          <w:color w:val="000000"/>
        </w:rPr>
        <w:t xml:space="preserve">. </w:t>
      </w:r>
    </w:p>
    <w:p w:rsidR="00A31F09" w:rsidRDefault="00A31F09" w:rsidP="00352DB4">
      <w:pPr>
        <w:spacing w:line="360" w:lineRule="auto"/>
        <w:ind w:firstLine="720"/>
        <w:jc w:val="both"/>
        <w:rPr>
          <w:color w:val="000000"/>
          <w:lang w:val="id-ID"/>
        </w:rPr>
      </w:pPr>
      <w:proofErr w:type="gramStart"/>
      <w:r>
        <w:rPr>
          <w:color w:val="000000"/>
        </w:rPr>
        <w:t>Sudah lama masyarakat Islam Indonesia memiliki keinginan untuk didikannya bank syariah dengan syariat Islam yang di prakarsai tokoh ulama, para cendikiawan dan pakar ekonomi Islam.</w:t>
      </w:r>
      <w:proofErr w:type="gramEnd"/>
      <w:r>
        <w:rPr>
          <w:color w:val="000000"/>
        </w:rPr>
        <w:t xml:space="preserve"> Hasrat dan keinginan untuk mendirikan konsep ekonomi Islam sebenarnya sudah mulai dipikirkan oleh para tokoh ulama di tahun 1930-an. Pada masa kepemimpinan K.H Mansur sebagai ketua PP Muhammdiyah pada tahun 1937 sampai tahun 1944 beliau menginginkan serta menyerukan suatu pendapat terhadap haramnya produk bank konvensional bagi masyarakat dan umat Islam. Pada saat itu beliau mengemukakan pendapat dan gagasan untuk mendirikan bank Islam di Indonesia</w:t>
      </w:r>
      <w:r w:rsidR="007C733B">
        <w:rPr>
          <w:color w:val="000000"/>
          <w:lang w:val="id-ID"/>
        </w:rPr>
        <w:t xml:space="preserve"> </w:t>
      </w:r>
      <w:r w:rsidR="007C733B">
        <w:rPr>
          <w:color w:val="000000"/>
        </w:rPr>
        <w:fldChar w:fldCharType="begin" w:fldLock="1"/>
      </w:r>
      <w:r w:rsidR="00AD31BA">
        <w:rPr>
          <w:color w:val="000000"/>
        </w:rPr>
        <w:instrText>ADDIN CSL_CITATION { "citationItems" : [ { "id" : "ITEM-1", "itemData" : { "author" : [ { "dropping-particle" : "", "family" : "Fasa", "given" : "Muhammad Iqbal", "non-dropping-particle" : "", "parse-names" : false, "suffix" : "" } ], "container-title" : "Jurnal Ekonomi Islam", "id" : "ITEM-1", "issue" : "2", "issued" : { "date-parts" : [ [ "2013" ] ] }, "page" : "19-40", "title" : "Tantangan dan strategi perkembangan perbankan syariah di indonesia", "type" : "article-journal", "volume" : "VII" }, "uris" : [ "http://www.mendeley.com/documents/?uuid=b742cac6-6480-4176-9fea-912395e3b8e6" ] } ], "mendeley" : { "formattedCitation" : "(Fasa 2013)", "manualFormatting" : "(Fasa, 2013)", "plainTextFormattedCitation" : "(Fasa 2013)", "previouslyFormattedCitation" : "(Fasa 2013)" }, "properties" : { "noteIndex" : 0 }, "schema" : "https://github.com/citation-style-language/schema/raw/master/csl-citation.json" }</w:instrText>
      </w:r>
      <w:r w:rsidR="007C733B">
        <w:rPr>
          <w:color w:val="000000"/>
        </w:rPr>
        <w:fldChar w:fldCharType="separate"/>
      </w:r>
      <w:r w:rsidR="007C733B" w:rsidRPr="007C733B">
        <w:rPr>
          <w:noProof/>
          <w:color w:val="000000"/>
        </w:rPr>
        <w:t>(Fasa</w:t>
      </w:r>
      <w:r w:rsidR="002347B1">
        <w:rPr>
          <w:noProof/>
          <w:color w:val="000000"/>
          <w:lang w:val="id-ID"/>
        </w:rPr>
        <w:t>, 2013</w:t>
      </w:r>
      <w:r w:rsidR="007C733B" w:rsidRPr="007C733B">
        <w:rPr>
          <w:noProof/>
          <w:color w:val="000000"/>
        </w:rPr>
        <w:t>)</w:t>
      </w:r>
      <w:r w:rsidR="007C733B">
        <w:rPr>
          <w:color w:val="000000"/>
        </w:rPr>
        <w:fldChar w:fldCharType="end"/>
      </w:r>
      <w:r>
        <w:rPr>
          <w:color w:val="000000"/>
        </w:rPr>
        <w:t>.</w:t>
      </w:r>
    </w:p>
    <w:p w:rsidR="00352DB4" w:rsidRDefault="00352DB4" w:rsidP="00352DB4">
      <w:pPr>
        <w:spacing w:line="360" w:lineRule="auto"/>
        <w:ind w:firstLine="720"/>
        <w:jc w:val="both"/>
        <w:rPr>
          <w:b/>
          <w:lang w:val="id-ID"/>
        </w:rPr>
      </w:pPr>
      <w:r>
        <w:rPr>
          <w:color w:val="000000"/>
        </w:rPr>
        <w:t xml:space="preserve">Penelitian </w:t>
      </w:r>
      <w:r>
        <w:rPr>
          <w:color w:val="000000"/>
        </w:rPr>
        <w:fldChar w:fldCharType="begin" w:fldLock="1"/>
      </w:r>
      <w:r w:rsidR="00AD31BA">
        <w:rPr>
          <w:color w:val="000000"/>
        </w:rPr>
        <w:instrText>ADDIN CSL_CITATION { "citationItems" : [ { "id" : "ITEM-1", "itemData" : { "author" : [ { "dropping-particle" : "", "family" : "Fasa", "given" : "Muhammad Iqbal", "non-dropping-particle" : "", "parse-names" : false, "suffix" : "" } ], "container-title" : "Jurnal Ekonomi Islam", "id" : "ITEM-1", "issue" : "2", "issued" : { "date-parts" : [ [ "2013" ] ] }, "page" : "19-40", "title" : "Tantangan dan strategi perkembangan perbankan syariah di indonesia", "type" : "article-journal", "volume" : "VII" }, "uris" : [ "http://www.mendeley.com/documents/?uuid=b742cac6-6480-4176-9fea-912395e3b8e6" ] } ], "mendeley" : { "formattedCitation" : "(Fasa 2013)", "manualFormatting" : "Fasa (2013)", "plainTextFormattedCitation" : "(Fasa 2013)", "previouslyFormattedCitation" : "(Fasa 2013)" }, "properties" : { "noteIndex" : 0 }, "schema" : "https://github.com/citation-style-language/schema/raw/master/csl-citation.json" }</w:instrText>
      </w:r>
      <w:r>
        <w:rPr>
          <w:color w:val="000000"/>
        </w:rPr>
        <w:fldChar w:fldCharType="separate"/>
      </w:r>
      <w:r>
        <w:rPr>
          <w:noProof/>
          <w:color w:val="000000"/>
        </w:rPr>
        <w:t>Fasa</w:t>
      </w:r>
      <w:r w:rsidRPr="00F655A2">
        <w:rPr>
          <w:noProof/>
          <w:color w:val="000000"/>
        </w:rPr>
        <w:t xml:space="preserve"> </w:t>
      </w:r>
      <w:r>
        <w:rPr>
          <w:noProof/>
          <w:color w:val="000000"/>
          <w:lang w:val="id-ID"/>
        </w:rPr>
        <w:t>(</w:t>
      </w:r>
      <w:r w:rsidRPr="00F655A2">
        <w:rPr>
          <w:noProof/>
          <w:color w:val="000000"/>
        </w:rPr>
        <w:t>2013)</w:t>
      </w:r>
      <w:r>
        <w:rPr>
          <w:color w:val="000000"/>
        </w:rPr>
        <w:fldChar w:fldCharType="end"/>
      </w:r>
      <w:r>
        <w:rPr>
          <w:color w:val="000000"/>
        </w:rPr>
        <w:t xml:space="preserve"> menyatakan bahwa peran pemerintah, para tokoh ulama, cendikiawan dan pakar ekonomi Islam sangat penting. </w:t>
      </w:r>
      <w:proofErr w:type="gramStart"/>
      <w:r>
        <w:rPr>
          <w:color w:val="000000"/>
        </w:rPr>
        <w:t xml:space="preserve">Seperti peran mantan presiden Suharto, B.J. Habibie sebagai ketua umum ICMI atau Rahmat Saleh sebagai mantan </w:t>
      </w:r>
      <w:r>
        <w:rPr>
          <w:color w:val="000000"/>
        </w:rPr>
        <w:lastRenderedPageBreak/>
        <w:t>Gubernur Bank Indonesia pada saat itu.</w:t>
      </w:r>
      <w:proofErr w:type="gramEnd"/>
      <w:r>
        <w:rPr>
          <w:color w:val="000000"/>
        </w:rPr>
        <w:t xml:space="preserve"> </w:t>
      </w:r>
      <w:proofErr w:type="gramStart"/>
      <w:r>
        <w:rPr>
          <w:color w:val="000000"/>
        </w:rPr>
        <w:t>Tokoh penting inilah yang mampu untuk menarik para investor, BUMN dan yayasan.</w:t>
      </w:r>
      <w:proofErr w:type="gramEnd"/>
      <w:r>
        <w:rPr>
          <w:color w:val="000000"/>
        </w:rPr>
        <w:t xml:space="preserve"> </w:t>
      </w:r>
    </w:p>
    <w:p w:rsidR="00352DB4" w:rsidRPr="00352DB4" w:rsidRDefault="00352DB4" w:rsidP="00352DB4">
      <w:pPr>
        <w:spacing w:line="360" w:lineRule="auto"/>
        <w:ind w:firstLine="720"/>
        <w:jc w:val="both"/>
        <w:rPr>
          <w:b/>
        </w:rPr>
      </w:pPr>
      <w:r>
        <w:t>Menurut</w:t>
      </w:r>
      <w:r>
        <w:rPr>
          <w:lang w:val="id-ID"/>
        </w:rPr>
        <w:t xml:space="preserve"> </w:t>
      </w:r>
      <w:r>
        <w:fldChar w:fldCharType="begin" w:fldLock="1"/>
      </w:r>
      <w:r w:rsidR="00AD31BA">
        <w:instrText>ADDIN CSL_CITATION { "citationItems" : [ { "id" : "ITEM-1", "itemData" : { "abstract" : "Perkembangan dan Prospek Perbankan Syariah Indonesia: Tantangan Dalam Menyongsong MEA 2015 1 Dr. Halim Alamsyah Deputi Gubernur Bank Indonesia Pendahuluan Sebagai negara dengan penduduk muslim terbesar 2 , sudah selayaknya Indonesia menjadi pelopor dan kiblat pengembangan keuangan syariah di dunia. Hal ini bukan merupakan 'impian yang mustahil' karena potensi Indonesia untuk menjadi global player keuangan syariah sangat besar, diantaranya: (i) jumlah penduduk muslim yang besar menjadi potensi nasabah industri keuangan syariah; (ii) prospek ekonomi yang cerah, tercermin dari pertumbuhan ekonomi yang relatif tinggi (kisaran 6,0%-6,5%) yang ditopang oleh fundamental ekonomi yang solid; (iii) peningkatan sovereign credit rating Indonesia menjadi investment grade yang akan meningkatkan minat investor untuk berinvestasi di sektor keuangan domestik, termasuk industri keuangan syariah; dan (iv) memiliki sumber daya alam yang melimpah yang dapat dijadikan sebagai underlying transaksi industri keuangan syariah. Dalam penilaian Global Islamic Financial Report (GIFR) tahun 2011, Indonesia menduduki urutan keempat negara yang memiliki potensi dan kondusif dalam pengembangan industri keuangan syariah setelah Iran, Malaysia dan Saudi Arabia (Grafik 1). Dengan melihat beberapa aspek dalam penghitungan indeks, seperti jumlah bank syariah, jumlah lembaga keuangan non-bank syariah, maupun ukuran aset keuangan syariah yang memiliki bobot terbesar, maka Indonesia diproyeksikan akan menduduki peringkat pertama dalam beberapa tahun ke depan. Optimisme ini sejalan dengan laju ekspansi kelembagaan dan akselerasi pertumbuhan aset perbankan syariah yang sangat tinggi, ditambah dengan volume penerbitan sukuk yang terus meningkat. Pengembangan keuangan syariah di Indonesia yang lebih bersifat market driven dan dorongan bottom up dalam memenuhi kebutuhan masyarakat sehingga lebih bertumpu pada sektor riil juga menjadi keunggulan tersendiri. Berbeda dengan perkembangan keuangan syariah di Iran, Malaysia, dan Arab Saudi, dimana perkembangan keuangan syariahnya lebih bertumpu pada sektor keuangan, bukan sektor riil, dan peranan pemerintah sangat dominan. Selain dalam", "author" : [ { "dropping-particle" : "", "family" : "Alamsyah", "given" : "Halim", "non-dropping-particle" : "", "parse-names" : false, "suffix" : "" } ], "container-title" : "Milad ke-8 Ikatan Ahli Ekonomi Islam (IAEI)", "id" : "ITEM-1", "issue" : "April 2012", "issued" : { "date-parts" : [ [ "2012" ] ] }, "page" : "1-8", "title" : "Perkembangan dan Prospek Perbankan Syariah Indonesia: Tantangan Dalam Menyongsong MEA 2015", "type" : "article-journal" }, "uris" : [ "http://www.mendeley.com/documents/?uuid=7e01227d-f746-46ad-b919-5caf4aae5bcb" ] } ], "mendeley" : { "formattedCitation" : "(Alamsyah 2012)", "manualFormatting" : "Alamsyah (2012)", "plainTextFormattedCitation" : "(Alamsyah 2012)", "previouslyFormattedCitation" : "(Alamsyah 2012)" }, "properties" : { "noteIndex" : 0 }, "schema" : "https://github.com/citation-style-language/schema/raw/master/csl-citation.json" }</w:instrText>
      </w:r>
      <w:r>
        <w:fldChar w:fldCharType="separate"/>
      </w:r>
      <w:r w:rsidRPr="00352DB4">
        <w:rPr>
          <w:noProof/>
        </w:rPr>
        <w:t>Alamsyah</w:t>
      </w:r>
      <w:r>
        <w:rPr>
          <w:noProof/>
          <w:lang w:val="id-ID"/>
        </w:rPr>
        <w:t xml:space="preserve"> (2012</w:t>
      </w:r>
      <w:r w:rsidRPr="00352DB4">
        <w:rPr>
          <w:noProof/>
        </w:rPr>
        <w:t>)</w:t>
      </w:r>
      <w:r>
        <w:fldChar w:fldCharType="end"/>
      </w:r>
      <w:r>
        <w:rPr>
          <w:lang w:val="id-ID"/>
        </w:rPr>
        <w:t xml:space="preserve"> </w:t>
      </w:r>
      <w:r w:rsidRPr="000C0B91">
        <w:t xml:space="preserve">Indonesia </w:t>
      </w:r>
      <w:r>
        <w:t xml:space="preserve">merupakan negara dengan penduduk Islam terbesar dunia, selayaknya menjadi pelopor dalam perkembangan dan pertumbuhan perbankan syariah. Indonesia memiliki ruang yang sangat besar terhadap perbankan syariah agar menjadi </w:t>
      </w:r>
      <w:r w:rsidRPr="000C0B91">
        <w:rPr>
          <w:i/>
          <w:iCs/>
        </w:rPr>
        <w:t>global player</w:t>
      </w:r>
      <w:r>
        <w:rPr>
          <w:iCs/>
        </w:rPr>
        <w:t xml:space="preserve">, dikarenakan: </w:t>
      </w:r>
    </w:p>
    <w:p w:rsidR="00352DB4" w:rsidRPr="00352DB4" w:rsidRDefault="00352DB4" w:rsidP="00352DB4">
      <w:pPr>
        <w:pStyle w:val="ListParagraph"/>
        <w:numPr>
          <w:ilvl w:val="0"/>
          <w:numId w:val="20"/>
        </w:numPr>
        <w:spacing w:line="360" w:lineRule="auto"/>
        <w:ind w:left="426" w:hanging="426"/>
        <w:contextualSpacing w:val="0"/>
        <w:jc w:val="both"/>
        <w:rPr>
          <w:iCs/>
        </w:rPr>
      </w:pPr>
      <w:r>
        <w:rPr>
          <w:iCs/>
          <w:lang w:val="id-ID"/>
        </w:rPr>
        <w:t>Dimana jumlah penduduk Islam yang besar merupakan suatu potensi dari nasabah dalam bidang keuangan syariah.</w:t>
      </w:r>
    </w:p>
    <w:p w:rsidR="00352DB4" w:rsidRPr="00352DB4" w:rsidRDefault="00352DB4" w:rsidP="00352DB4">
      <w:pPr>
        <w:pStyle w:val="ListParagraph"/>
        <w:numPr>
          <w:ilvl w:val="0"/>
          <w:numId w:val="20"/>
        </w:numPr>
        <w:spacing w:line="360" w:lineRule="auto"/>
        <w:ind w:left="426" w:hanging="426"/>
        <w:contextualSpacing w:val="0"/>
        <w:jc w:val="both"/>
        <w:rPr>
          <w:iCs/>
        </w:rPr>
      </w:pPr>
      <w:r w:rsidRPr="00352DB4">
        <w:rPr>
          <w:iCs/>
          <w:lang w:val="id-ID"/>
        </w:rPr>
        <w:t>Adanya prospek perekonomian yang berkembang, hal ini terlihat dari pertumbuhan perekonomian Indonesia kisaran 6% sampai 6,5% dalam rentang ekonomi yang solid.</w:t>
      </w:r>
    </w:p>
    <w:p w:rsidR="00352DB4" w:rsidRPr="00352DB4" w:rsidRDefault="00352DB4" w:rsidP="00352DB4">
      <w:pPr>
        <w:pStyle w:val="ListParagraph"/>
        <w:numPr>
          <w:ilvl w:val="0"/>
          <w:numId w:val="20"/>
        </w:numPr>
        <w:spacing w:line="360" w:lineRule="auto"/>
        <w:ind w:left="426" w:hanging="426"/>
        <w:contextualSpacing w:val="0"/>
        <w:jc w:val="both"/>
        <w:rPr>
          <w:iCs/>
        </w:rPr>
      </w:pPr>
      <w:r w:rsidRPr="00352DB4">
        <w:rPr>
          <w:iCs/>
          <w:lang w:val="id-ID"/>
        </w:rPr>
        <w:t xml:space="preserve">Meningkatnya </w:t>
      </w:r>
      <w:r w:rsidRPr="00352DB4">
        <w:rPr>
          <w:i/>
          <w:iCs/>
          <w:color w:val="000000"/>
        </w:rPr>
        <w:t xml:space="preserve">sovereign credit rating </w:t>
      </w:r>
      <w:r w:rsidRPr="00352DB4">
        <w:rPr>
          <w:color w:val="000000"/>
        </w:rPr>
        <w:t xml:space="preserve">Indonesia menjadi </w:t>
      </w:r>
      <w:r w:rsidRPr="00352DB4">
        <w:rPr>
          <w:i/>
          <w:iCs/>
          <w:color w:val="000000"/>
        </w:rPr>
        <w:t>investment grade</w:t>
      </w:r>
      <w:r w:rsidRPr="00352DB4">
        <w:rPr>
          <w:i/>
          <w:iCs/>
          <w:color w:val="000000"/>
          <w:lang w:val="id-ID"/>
        </w:rPr>
        <w:t xml:space="preserve"> </w:t>
      </w:r>
      <w:r w:rsidRPr="00352DB4">
        <w:rPr>
          <w:iCs/>
          <w:color w:val="000000"/>
          <w:lang w:val="id-ID"/>
        </w:rPr>
        <w:t>dalam hal ini berpengaruh terhadap minat para investor untuk berinvestasi didalam negeri termasuk perbankan syariah.</w:t>
      </w:r>
    </w:p>
    <w:p w:rsidR="00352DB4" w:rsidRPr="00352DB4" w:rsidRDefault="00352DB4" w:rsidP="00352DB4">
      <w:pPr>
        <w:pStyle w:val="ListParagraph"/>
        <w:numPr>
          <w:ilvl w:val="0"/>
          <w:numId w:val="20"/>
        </w:numPr>
        <w:spacing w:line="360" w:lineRule="auto"/>
        <w:ind w:left="426" w:hanging="426"/>
        <w:contextualSpacing w:val="0"/>
        <w:jc w:val="both"/>
        <w:rPr>
          <w:iCs/>
        </w:rPr>
      </w:pPr>
      <w:r w:rsidRPr="00352DB4">
        <w:rPr>
          <w:iCs/>
          <w:lang w:val="id-ID"/>
        </w:rPr>
        <w:t xml:space="preserve">Indonesia yang memiliki kekayaan alam sehingga dapat dijadikan sebagai </w:t>
      </w:r>
      <w:r w:rsidRPr="00352DB4">
        <w:rPr>
          <w:i/>
          <w:iCs/>
          <w:color w:val="000000"/>
        </w:rPr>
        <w:t>underlying</w:t>
      </w:r>
      <w:r w:rsidRPr="00352DB4">
        <w:rPr>
          <w:i/>
          <w:iCs/>
          <w:color w:val="000000"/>
          <w:lang w:val="id-ID"/>
        </w:rPr>
        <w:t xml:space="preserve"> </w:t>
      </w:r>
      <w:r w:rsidRPr="00352DB4">
        <w:rPr>
          <w:iCs/>
          <w:color w:val="000000"/>
          <w:lang w:val="id-ID"/>
        </w:rPr>
        <w:t>terhadap transaksi keuangan syariah</w:t>
      </w:r>
      <w:r>
        <w:rPr>
          <w:iCs/>
          <w:color w:val="000000"/>
          <w:lang w:val="id-ID"/>
        </w:rPr>
        <w:t xml:space="preserve"> </w:t>
      </w:r>
      <w:r>
        <w:rPr>
          <w:iCs/>
          <w:color w:val="000000"/>
          <w:lang w:val="id-ID"/>
        </w:rPr>
        <w:fldChar w:fldCharType="begin" w:fldLock="1"/>
      </w:r>
      <w:r w:rsidR="00AD31BA">
        <w:rPr>
          <w:iCs/>
          <w:color w:val="000000"/>
          <w:lang w:val="id-ID"/>
        </w:rPr>
        <w:instrText>ADDIN CSL_CITATION { "citationItems" : [ { "id" : "ITEM-1", "itemData" : { "ISSN" : "2088-6365", "abstract" : "Perkembangan perbankan syariah di Indonesia merupakan suatu perwujudan dari permintaan masyarakat yang membutuhkan suatu sistem perbankan alternatif yang selain menyediakan jasa perbankan/keuangan yang sehat, juga memenuhi prinsip-prinsip syariah.1 Tulisan ini mencoba mereview bagaimana perjalanan dan perkembangan bank syariah di Indonesia serta dibandingkan dengan beberapa Negara muslim lainnya. Secara umum, kebijakan pengembangan perbankan syariah di Indonesia belum mencapai target yang ideal yang direncanakan. Berdasarkan Global Islamic Financial Report (GIFR) tahun 2014, Indonesia menduduki urutan ketujuh turun tiga peringkat yang sempat menempati urutan keempat pada tahun 2011. Sebagai negara yang memiliki potensi dan kondusif dalam pengembangan industri keuangan syariah setelah Iran, Malaysia dan Saudi Arabia. Dengan melihat beberapa aspek dalam penghitungan indeks, seperti jumlah bank syariah, jumlah lembaga keuangan non-bank syariah, maupun ukuran aset keuangan syariah yang memiliki bobot terbesar, dapat dikatakan perkembangan perbankan syariah di Indonesia berjalan di tempat, bahkan belum menunjukkan perkembangan yang signifikan dari tahun-tahun sebelumnya. Kata Kunci: Global Islamic Financial Report; dual banking system; bank syariah; keuangan syariah", "author" : [ { "dropping-particle" : "", "family" : "Syukron", "given" : "Ali", "non-dropping-particle" : "", "parse-names" : false, "suffix" : "" } ], "container-title" : "Jurnal Ekonomi dan Hukum Islam", "id" : "ITEM-1", "issue" : "2", "issued" : { "date-parts" : [ [ "2013" ] ] }, "page" : "28-53", "title" : "Dinamika Perkembangan Perbankan Syariah Di Indonesia", "type" : "article-journal", "volume" : "3" }, "uris" : [ "http://www.mendeley.com/documents/?uuid=6123f1a5-bb74-422d-a8a1-a87a4b79c5fc" ] } ], "mendeley" : { "formattedCitation" : "(Syukron 2013)", "manualFormatting" : "(Syukron, 2013)", "plainTextFormattedCitation" : "(Syukron 2013)", "previouslyFormattedCitation" : "(Syukron 2013)" }, "properties" : { "noteIndex" : 0 }, "schema" : "https://github.com/citation-style-language/schema/raw/master/csl-citation.json" }</w:instrText>
      </w:r>
      <w:r>
        <w:rPr>
          <w:iCs/>
          <w:color w:val="000000"/>
          <w:lang w:val="id-ID"/>
        </w:rPr>
        <w:fldChar w:fldCharType="separate"/>
      </w:r>
      <w:r w:rsidRPr="00352DB4">
        <w:rPr>
          <w:iCs/>
          <w:noProof/>
          <w:color w:val="000000"/>
          <w:lang w:val="id-ID"/>
        </w:rPr>
        <w:t>(Syukron</w:t>
      </w:r>
      <w:r>
        <w:rPr>
          <w:iCs/>
          <w:noProof/>
          <w:color w:val="000000"/>
          <w:lang w:val="id-ID"/>
        </w:rPr>
        <w:t>, 2013</w:t>
      </w:r>
      <w:r w:rsidRPr="00352DB4">
        <w:rPr>
          <w:iCs/>
          <w:noProof/>
          <w:color w:val="000000"/>
          <w:lang w:val="id-ID"/>
        </w:rPr>
        <w:t>)</w:t>
      </w:r>
      <w:r>
        <w:rPr>
          <w:iCs/>
          <w:color w:val="000000"/>
          <w:lang w:val="id-ID"/>
        </w:rPr>
        <w:fldChar w:fldCharType="end"/>
      </w:r>
      <w:r w:rsidRPr="00352DB4">
        <w:rPr>
          <w:iCs/>
          <w:color w:val="000000"/>
          <w:lang w:val="id-ID"/>
        </w:rPr>
        <w:t>.</w:t>
      </w:r>
    </w:p>
    <w:p w:rsidR="00352DB4" w:rsidRDefault="00352DB4" w:rsidP="00352DB4">
      <w:pPr>
        <w:pStyle w:val="ListParagraph"/>
        <w:spacing w:line="360" w:lineRule="auto"/>
        <w:ind w:left="0" w:firstLine="709"/>
        <w:contextualSpacing w:val="0"/>
        <w:jc w:val="both"/>
        <w:rPr>
          <w:color w:val="000000"/>
          <w:lang w:val="id-ID"/>
        </w:rPr>
      </w:pPr>
      <w:r w:rsidRPr="00352DB4">
        <w:rPr>
          <w:color w:val="000000"/>
        </w:rPr>
        <w:t>Sementara di Indonesia, pada awal tahun 1990-</w:t>
      </w:r>
      <w:proofErr w:type="gramStart"/>
      <w:r w:rsidRPr="00352DB4">
        <w:rPr>
          <w:color w:val="000000"/>
        </w:rPr>
        <w:t>an</w:t>
      </w:r>
      <w:proofErr w:type="gramEnd"/>
      <w:r w:rsidRPr="00352DB4">
        <w:rPr>
          <w:color w:val="000000"/>
        </w:rPr>
        <w:t xml:space="preserve"> bank syariah berdiri yang dikenal dengan nama Bank Muamalat Indonesia. Dalam praktiknya bank syariah mampu dalam memenuhi kebutuhan di masyarakat Indonesia dengan pelayanan jasa perbankan sesuai dengan prinsip syariah agama Islam, hal-hal yang berkaitan dengan pelarangan terhadap riba, ketidakjelasan, penyaluran dalam pembiayaan/investasi pada kegiatan usaha yang etis halal secara syariah, pelanggaran prinsip keadilan dalam bertransaksi serta kegiatan yang bersifat spekulatif yang non-produktif (perjudian). </w:t>
      </w:r>
    </w:p>
    <w:p w:rsidR="00352DB4" w:rsidRPr="00352DB4" w:rsidRDefault="00352DB4" w:rsidP="00352DB4">
      <w:pPr>
        <w:pStyle w:val="ListParagraph"/>
        <w:spacing w:line="360" w:lineRule="auto"/>
        <w:ind w:left="0" w:firstLine="709"/>
        <w:contextualSpacing w:val="0"/>
        <w:jc w:val="both"/>
        <w:rPr>
          <w:iCs/>
          <w:lang w:val="id-ID"/>
        </w:rPr>
      </w:pPr>
      <w:r w:rsidRPr="00352DB4">
        <w:rPr>
          <w:color w:val="000000"/>
        </w:rPr>
        <w:t>Perkembangan bank syariah secara pesat semenjak era reformasi pada akhir tahun 1990-an, setelah pemerintah dan Bank Indonesia memberikan kebijakan dalam</w:t>
      </w:r>
      <w:r>
        <w:rPr>
          <w:color w:val="000000"/>
          <w:lang w:val="id-ID"/>
        </w:rPr>
        <w:t xml:space="preserve"> </w:t>
      </w:r>
      <w:r w:rsidRPr="00352DB4">
        <w:rPr>
          <w:color w:val="000000"/>
        </w:rPr>
        <w:t>mengembangkan bank syariah, dengan dikeluarkan nya undang-undang perbankan dengan UU No. 10 tahun</w:t>
      </w:r>
      <w:r w:rsidRPr="001130E4">
        <w:t xml:space="preserve"> </w:t>
      </w:r>
      <w:r w:rsidRPr="00352DB4">
        <w:rPr>
          <w:color w:val="000000"/>
        </w:rPr>
        <w:t>3 1998 yang mana kebijakan tersebut tidak hanya tentang perluasan operasi bank-bank syariah dan jumlah kantor untuk meningkatkan sisi penawaran, tetapi juga menyangkut pengembangan pemahaman dan kesadaran masyarakat untuk meningkatkan sisi permintaan.</w:t>
      </w:r>
    </w:p>
    <w:p w:rsidR="00027898" w:rsidRDefault="00352DB4" w:rsidP="00027898">
      <w:pPr>
        <w:spacing w:line="360" w:lineRule="auto"/>
        <w:ind w:firstLine="720"/>
        <w:jc w:val="both"/>
        <w:rPr>
          <w:color w:val="000000"/>
          <w:lang w:val="id-ID"/>
        </w:rPr>
      </w:pPr>
      <w:proofErr w:type="gramStart"/>
      <w:r w:rsidRPr="001130E4">
        <w:rPr>
          <w:color w:val="000000"/>
        </w:rPr>
        <w:t>Perkembangan bank syariah dalam sejarah Indonesia semenjak dikeluarkannya ketentuan dari Bank Indonesia tentang pemberian izin untuk membuka bank syariah atau memberikan izin terhadap bank konvensional untuk mendirikan Unit Usaha Syariah (UUS).</w:t>
      </w:r>
      <w:proofErr w:type="gramEnd"/>
      <w:r w:rsidRPr="001130E4">
        <w:rPr>
          <w:color w:val="000000"/>
        </w:rPr>
        <w:t xml:space="preserve"> </w:t>
      </w:r>
      <w:r w:rsidRPr="001130E4">
        <w:t xml:space="preserve">Bank syariah merupakan lembaga perbankan penyedia jasa keuangan yang </w:t>
      </w:r>
      <w:r w:rsidRPr="001130E4">
        <w:lastRenderedPageBreak/>
        <w:t>beroperasi berdasarkan etika dan sistem nilai Islam, khususnya yang bebas dari bunga (</w:t>
      </w:r>
      <w:r w:rsidRPr="001130E4">
        <w:rPr>
          <w:i/>
          <w:iCs/>
        </w:rPr>
        <w:t>riba</w:t>
      </w:r>
      <w:r w:rsidRPr="001130E4">
        <w:t>), bebas dari kegiatan spekulatif yang nonproduktif seperti perjudian (</w:t>
      </w:r>
      <w:r w:rsidRPr="001130E4">
        <w:rPr>
          <w:i/>
          <w:iCs/>
        </w:rPr>
        <w:t>maysir</w:t>
      </w:r>
      <w:r w:rsidRPr="001130E4">
        <w:t>), bebas dari hal-hal yang tidak jelas dan meragukan (</w:t>
      </w:r>
      <w:r w:rsidRPr="001130E4">
        <w:rPr>
          <w:i/>
          <w:iCs/>
        </w:rPr>
        <w:t>gharar</w:t>
      </w:r>
      <w:r w:rsidRPr="001130E4">
        <w:t>), berprinsip keadilan, dan hanya membi</w:t>
      </w:r>
      <w:r>
        <w:t>ayai kegiatan usaha yang halal</w:t>
      </w:r>
      <w:r>
        <w:rPr>
          <w:lang w:val="id-ID"/>
        </w:rPr>
        <w:t xml:space="preserve"> </w:t>
      </w:r>
      <w:r>
        <w:fldChar w:fldCharType="begin" w:fldLock="1"/>
      </w:r>
      <w:r w:rsidR="00AD31BA">
        <w:instrText>ADDIN CSL_CITATION { "citationItems" : [ { "id" : "ITEM-1", "itemData" : { "author" : [ { "dropping-particle" : "", "family" : "Munawir", "given" : "H", "non-dropping-particle" : "", "parse-names" : false, "suffix" : "" } ], "container-title" : "Jurnal Ilmiah Teknik Industri", "id" : "ITEM-1", "issue" : "1", "issued" : { "date-parts" : [ [ "2005" ] ] }, "page" : "41-48", "title" : "Perencanaan Strategi Pengembangan Bank Syariah Di Indonesia", "type" : "article-journal", "volume" : "4" }, "uris" : [ "http://www.mendeley.com/documents/?uuid=1b9c485a-1339-4faf-92d3-b4d2b4e5a356" ] } ], "mendeley" : { "formattedCitation" : "(Munawir 2005)", "manualFormatting" : "(Munawir, 2005)", "plainTextFormattedCitation" : "(Munawir 2005)", "previouslyFormattedCitation" : "(Munawir 2005)" }, "properties" : { "noteIndex" : 0 }, "schema" : "https://github.com/citation-style-language/schema/raw/master/csl-citation.json" }</w:instrText>
      </w:r>
      <w:r>
        <w:fldChar w:fldCharType="separate"/>
      </w:r>
      <w:r w:rsidRPr="00352DB4">
        <w:rPr>
          <w:noProof/>
        </w:rPr>
        <w:t>(Munawir</w:t>
      </w:r>
      <w:r>
        <w:rPr>
          <w:noProof/>
          <w:lang w:val="id-ID"/>
        </w:rPr>
        <w:t>, 2005</w:t>
      </w:r>
      <w:r w:rsidRPr="00352DB4">
        <w:rPr>
          <w:noProof/>
        </w:rPr>
        <w:t>)</w:t>
      </w:r>
      <w:r>
        <w:fldChar w:fldCharType="end"/>
      </w:r>
      <w:r>
        <w:rPr>
          <w:color w:val="000000"/>
          <w:lang w:val="id-ID"/>
        </w:rPr>
        <w:t>.</w:t>
      </w:r>
    </w:p>
    <w:p w:rsidR="00027898" w:rsidRPr="00027898" w:rsidRDefault="00027898" w:rsidP="00027898">
      <w:pPr>
        <w:spacing w:line="360" w:lineRule="auto"/>
        <w:ind w:firstLine="720"/>
        <w:jc w:val="both"/>
        <w:rPr>
          <w:color w:val="000000"/>
          <w:lang w:val="id-ID"/>
        </w:rPr>
      </w:pPr>
      <w:proofErr w:type="gramStart"/>
      <w:r w:rsidRPr="001130E4">
        <w:t>Bank Syariah sering dipersamakan dengan bank tanpa bunga yang mulai banyak berkembang ibaratkan jamur dimusim hujan.</w:t>
      </w:r>
      <w:proofErr w:type="gramEnd"/>
      <w:r w:rsidRPr="001130E4">
        <w:t xml:space="preserve">  </w:t>
      </w:r>
      <w:proofErr w:type="gramStart"/>
      <w:r w:rsidRPr="001130E4">
        <w:t>Selain menghindari bunga, juga secara aktif turut serta dalam berpartisipasi untuk mencapai sasaran dan tujuan dari ekonomi Islam yang berorientasi pada kesejahteraan sosial.</w:t>
      </w:r>
      <w:proofErr w:type="gramEnd"/>
      <w:r w:rsidRPr="001130E4">
        <w:t xml:space="preserve"> </w:t>
      </w:r>
      <w:r w:rsidRPr="001130E4">
        <w:rPr>
          <w:bCs/>
        </w:rPr>
        <w:t xml:space="preserve">Prinsip-prinsip Dasar Perbankan Syariah </w:t>
      </w:r>
      <w:r w:rsidRPr="001130E4">
        <w:t xml:space="preserve">Dalam operasinya, bank Syariah mengikuti aturan-aturan dan norma-norma Islam, seperti yang disebutkan dalam pengertian di atas, yaitu: </w:t>
      </w:r>
    </w:p>
    <w:p w:rsidR="00027898" w:rsidRPr="001130E4" w:rsidRDefault="00027898" w:rsidP="00027898">
      <w:pPr>
        <w:pStyle w:val="ListParagraph"/>
        <w:numPr>
          <w:ilvl w:val="0"/>
          <w:numId w:val="21"/>
        </w:numPr>
        <w:spacing w:line="360" w:lineRule="auto"/>
        <w:ind w:left="426" w:hanging="426"/>
        <w:jc w:val="both"/>
        <w:rPr>
          <w:lang w:val="id-ID"/>
        </w:rPr>
      </w:pPr>
      <w:r w:rsidRPr="001130E4">
        <w:t>Bebas dari bunga (</w:t>
      </w:r>
      <w:r w:rsidRPr="001130E4">
        <w:rPr>
          <w:i/>
          <w:iCs/>
        </w:rPr>
        <w:t>riba</w:t>
      </w:r>
      <w:r w:rsidRPr="001130E4">
        <w:t>)</w:t>
      </w:r>
    </w:p>
    <w:p w:rsidR="00027898" w:rsidRPr="001130E4" w:rsidRDefault="00027898" w:rsidP="00027898">
      <w:pPr>
        <w:pStyle w:val="ListParagraph"/>
        <w:numPr>
          <w:ilvl w:val="0"/>
          <w:numId w:val="21"/>
        </w:numPr>
        <w:spacing w:line="360" w:lineRule="auto"/>
        <w:ind w:left="426" w:hanging="426"/>
        <w:jc w:val="both"/>
        <w:rPr>
          <w:lang w:val="id-ID"/>
        </w:rPr>
      </w:pPr>
      <w:r w:rsidRPr="001130E4">
        <w:t>Bebas dari kegiatan spekulatif yang non produktif seperti</w:t>
      </w:r>
      <w:r w:rsidRPr="001130E4">
        <w:rPr>
          <w:lang w:val="id-ID"/>
        </w:rPr>
        <w:t xml:space="preserve"> </w:t>
      </w:r>
      <w:r w:rsidRPr="001130E4">
        <w:t>perjudian (</w:t>
      </w:r>
      <w:r w:rsidRPr="001130E4">
        <w:rPr>
          <w:i/>
          <w:iCs/>
        </w:rPr>
        <w:t>maysir</w:t>
      </w:r>
      <w:r w:rsidRPr="001130E4">
        <w:t>)</w:t>
      </w:r>
    </w:p>
    <w:p w:rsidR="00027898" w:rsidRPr="001130E4" w:rsidRDefault="00027898" w:rsidP="00027898">
      <w:pPr>
        <w:pStyle w:val="ListParagraph"/>
        <w:numPr>
          <w:ilvl w:val="0"/>
          <w:numId w:val="21"/>
        </w:numPr>
        <w:spacing w:line="360" w:lineRule="auto"/>
        <w:ind w:left="426" w:hanging="426"/>
        <w:jc w:val="both"/>
        <w:rPr>
          <w:lang w:val="id-ID"/>
        </w:rPr>
      </w:pPr>
      <w:r w:rsidRPr="001130E4">
        <w:t>Bebas dari hal-hal yang tidak jelas dan meragukan (</w:t>
      </w:r>
      <w:r w:rsidRPr="001130E4">
        <w:rPr>
          <w:i/>
          <w:iCs/>
        </w:rPr>
        <w:t>gharar</w:t>
      </w:r>
      <w:r w:rsidRPr="001130E4">
        <w:t>)</w:t>
      </w:r>
    </w:p>
    <w:p w:rsidR="00027898" w:rsidRDefault="00027898" w:rsidP="00027898">
      <w:pPr>
        <w:pStyle w:val="ListParagraph"/>
        <w:numPr>
          <w:ilvl w:val="0"/>
          <w:numId w:val="21"/>
        </w:numPr>
        <w:spacing w:line="360" w:lineRule="auto"/>
        <w:ind w:left="426" w:hanging="426"/>
        <w:jc w:val="both"/>
        <w:rPr>
          <w:lang w:val="id-ID"/>
        </w:rPr>
      </w:pPr>
      <w:r w:rsidRPr="001130E4">
        <w:t>Bebas dari hal-hal yang rusak atau tidak sah (</w:t>
      </w:r>
      <w:r w:rsidRPr="001130E4">
        <w:rPr>
          <w:i/>
          <w:iCs/>
        </w:rPr>
        <w:t>bathil</w:t>
      </w:r>
      <w:r w:rsidRPr="001130E4">
        <w:t>)</w:t>
      </w:r>
      <w:r w:rsidRPr="001130E4">
        <w:rPr>
          <w:lang w:val="id-ID"/>
        </w:rPr>
        <w:t xml:space="preserve"> </w:t>
      </w:r>
      <w:r w:rsidRPr="001130E4">
        <w:t>dan</w:t>
      </w:r>
    </w:p>
    <w:p w:rsidR="00027898" w:rsidRDefault="00027898" w:rsidP="00027898">
      <w:pPr>
        <w:pStyle w:val="ListParagraph"/>
        <w:numPr>
          <w:ilvl w:val="0"/>
          <w:numId w:val="21"/>
        </w:numPr>
        <w:spacing w:line="360" w:lineRule="auto"/>
        <w:ind w:left="426" w:hanging="426"/>
        <w:jc w:val="both"/>
        <w:rPr>
          <w:lang w:val="id-ID"/>
        </w:rPr>
      </w:pPr>
      <w:r w:rsidRPr="005F0160">
        <w:t>Hanya membiayai kegiatan usaha yang halal.</w:t>
      </w:r>
      <w:r w:rsidRPr="005F0160">
        <w:rPr>
          <w:lang w:val="id-ID"/>
        </w:rPr>
        <w:t xml:space="preserve"> </w:t>
      </w:r>
      <w:r w:rsidRPr="005F0160">
        <w:t>Secara singkat empat prinsip pertama biasa disebut anti MAGHRIB</w:t>
      </w:r>
      <w:r w:rsidRPr="005F0160">
        <w:rPr>
          <w:lang w:val="id-ID"/>
        </w:rPr>
        <w:t xml:space="preserve"> </w:t>
      </w:r>
      <w:r w:rsidRPr="005F0160">
        <w:t>(</w:t>
      </w:r>
      <w:r w:rsidRPr="005F0160">
        <w:rPr>
          <w:i/>
          <w:iCs/>
        </w:rPr>
        <w:t>maysir</w:t>
      </w:r>
      <w:r w:rsidRPr="005F0160">
        <w:t xml:space="preserve">, </w:t>
      </w:r>
      <w:r w:rsidRPr="005F0160">
        <w:rPr>
          <w:i/>
          <w:iCs/>
        </w:rPr>
        <w:t>gharar</w:t>
      </w:r>
      <w:r w:rsidRPr="005F0160">
        <w:t xml:space="preserve">, </w:t>
      </w:r>
      <w:r w:rsidRPr="005F0160">
        <w:rPr>
          <w:i/>
          <w:iCs/>
        </w:rPr>
        <w:t>riba</w:t>
      </w:r>
      <w:r w:rsidRPr="005F0160">
        <w:t xml:space="preserve">, dan </w:t>
      </w:r>
      <w:r w:rsidRPr="005F0160">
        <w:rPr>
          <w:i/>
          <w:iCs/>
        </w:rPr>
        <w:t>bathil</w:t>
      </w:r>
      <w:r w:rsidRPr="005F0160">
        <w:t>)</w:t>
      </w:r>
      <w:r>
        <w:rPr>
          <w:lang w:val="id-ID"/>
        </w:rPr>
        <w:t xml:space="preserve"> </w:t>
      </w:r>
      <w:r>
        <w:rPr>
          <w:lang w:val="id-ID"/>
        </w:rPr>
        <w:fldChar w:fldCharType="begin" w:fldLock="1"/>
      </w:r>
      <w:r w:rsidR="00AD31BA">
        <w:rPr>
          <w:lang w:val="id-ID"/>
        </w:rPr>
        <w:instrText>ADDIN CSL_CITATION { "citationItems" : [ { "id" : "ITEM-1", "itemData" : { "ISBN" : "979-3363-16-9", "author" : [ { "dropping-particle" : "", "family" : "Diana Yumanita", "given" : "Ascarya", "non-dropping-particle" : "", "parse-names" : false, "suffix" : "" } ], "container-title" : "pengertian Bank Syariah journal", "id" : "ITEM-1", "issue" : "14", "issued" : { "date-parts" : [ [ "2010" ] ] }, "number-of-pages" : "82", "title" : "Bank Syariah: Gambaran Umum PUSAT", "type" : "book", "volume" : "14" }, "uris" : [ "http://www.mendeley.com/documents/?uuid=bf5b56c5-be1a-40b7-96b4-2c99e1879dbf" ] } ], "mendeley" : { "formattedCitation" : "(Diana Yumanita 2010)", "manualFormatting" : "(Diana Yumanita, 2010)", "plainTextFormattedCitation" : "(Diana Yumanita 2010)", "previouslyFormattedCitation" : "(Diana Yumanita 2010)" }, "properties" : { "noteIndex" : 0 }, "schema" : "https://github.com/citation-style-language/schema/raw/master/csl-citation.json" }</w:instrText>
      </w:r>
      <w:r>
        <w:rPr>
          <w:lang w:val="id-ID"/>
        </w:rPr>
        <w:fldChar w:fldCharType="separate"/>
      </w:r>
      <w:r w:rsidRPr="00027898">
        <w:rPr>
          <w:noProof/>
          <w:lang w:val="id-ID"/>
        </w:rPr>
        <w:t>(Diana Yumanita</w:t>
      </w:r>
      <w:r>
        <w:rPr>
          <w:noProof/>
          <w:lang w:val="id-ID"/>
        </w:rPr>
        <w:t>, 2010</w:t>
      </w:r>
      <w:r w:rsidRPr="00027898">
        <w:rPr>
          <w:noProof/>
          <w:lang w:val="id-ID"/>
        </w:rPr>
        <w:t>)</w:t>
      </w:r>
      <w:r>
        <w:rPr>
          <w:lang w:val="id-ID"/>
        </w:rPr>
        <w:fldChar w:fldCharType="end"/>
      </w:r>
      <w:r>
        <w:rPr>
          <w:lang w:val="id-ID"/>
        </w:rPr>
        <w:t>.</w:t>
      </w:r>
    </w:p>
    <w:p w:rsidR="00027898" w:rsidRPr="005F0160" w:rsidRDefault="00027898" w:rsidP="00027898">
      <w:pPr>
        <w:spacing w:line="360" w:lineRule="auto"/>
        <w:ind w:firstLine="709"/>
        <w:contextualSpacing/>
        <w:jc w:val="both"/>
      </w:pPr>
      <w:r w:rsidRPr="005F0160">
        <w:t xml:space="preserve">Bank Indonesia selaku regulator memberikan perhatian dengan sungguh-sungguh dan serius dalam perkembangan perbankan syariah. Dengan semangat yang kuat serta dilandasi adanya keyakinan bahwa bank syariah akan memberi dan membawa </w:t>
      </w:r>
      <w:r w:rsidRPr="005F0160">
        <w:rPr>
          <w:i/>
          <w:iCs/>
        </w:rPr>
        <w:t xml:space="preserve">maslahat </w:t>
      </w:r>
      <w:r w:rsidRPr="005F0160">
        <w:rPr>
          <w:iCs/>
        </w:rPr>
        <w:t xml:space="preserve">untuk pemerataan dan </w:t>
      </w:r>
      <w:proofErr w:type="gramStart"/>
      <w:r w:rsidRPr="005F0160">
        <w:rPr>
          <w:iCs/>
        </w:rPr>
        <w:t>meningkatkan  perekonomian</w:t>
      </w:r>
      <w:proofErr w:type="gramEnd"/>
      <w:r w:rsidRPr="005F0160">
        <w:rPr>
          <w:iCs/>
        </w:rPr>
        <w:t xml:space="preserve"> rakyat</w:t>
      </w:r>
      <w:r w:rsidRPr="005F0160">
        <w:t>.</w:t>
      </w:r>
    </w:p>
    <w:p w:rsidR="00027898" w:rsidRPr="001130E4" w:rsidRDefault="00027898" w:rsidP="00027898">
      <w:pPr>
        <w:pStyle w:val="ListParagraph"/>
        <w:numPr>
          <w:ilvl w:val="0"/>
          <w:numId w:val="22"/>
        </w:numPr>
        <w:spacing w:line="360" w:lineRule="auto"/>
        <w:ind w:left="426" w:hanging="426"/>
        <w:jc w:val="both"/>
        <w:rPr>
          <w:lang w:val="id-ID"/>
        </w:rPr>
      </w:pPr>
      <w:r w:rsidRPr="001130E4">
        <w:rPr>
          <w:lang w:val="id-ID"/>
        </w:rPr>
        <w:t xml:space="preserve">Bank syariah lebih cenderung dengan sektor riil sebab produk-produk yang ditawarkan dalam hal pembiayaan selalu menggunakan </w:t>
      </w:r>
      <w:r w:rsidRPr="001130E4">
        <w:rPr>
          <w:i/>
          <w:lang w:val="id-ID"/>
        </w:rPr>
        <w:t xml:space="preserve">underlying </w:t>
      </w:r>
      <w:r w:rsidRPr="001130E4">
        <w:rPr>
          <w:lang w:val="id-ID"/>
        </w:rPr>
        <w:t xml:space="preserve">sehingga lebih nyata dalam sektor riil dalam pertumbuhan ekonomi. </w:t>
      </w:r>
    </w:p>
    <w:p w:rsidR="00027898" w:rsidRPr="001130E4" w:rsidRDefault="00027898" w:rsidP="00027898">
      <w:pPr>
        <w:pStyle w:val="ListParagraph"/>
        <w:numPr>
          <w:ilvl w:val="0"/>
          <w:numId w:val="22"/>
        </w:numPr>
        <w:spacing w:line="360" w:lineRule="auto"/>
        <w:ind w:left="426" w:hanging="426"/>
        <w:jc w:val="both"/>
        <w:rPr>
          <w:lang w:val="id-ID"/>
        </w:rPr>
      </w:pPr>
      <w:r w:rsidRPr="00872F7B">
        <w:rPr>
          <w:color w:val="000000"/>
          <w:lang w:val="id-ID"/>
        </w:rPr>
        <w:t>Ti</w:t>
      </w:r>
      <w:r w:rsidRPr="00872F7B">
        <w:rPr>
          <w:color w:val="000000"/>
        </w:rPr>
        <w:t xml:space="preserve">dak </w:t>
      </w:r>
      <w:r w:rsidRPr="00872F7B">
        <w:rPr>
          <w:color w:val="000000"/>
          <w:lang w:val="id-ID"/>
        </w:rPr>
        <w:t>adanya</w:t>
      </w:r>
      <w:r w:rsidRPr="00872F7B">
        <w:rPr>
          <w:color w:val="000000"/>
        </w:rPr>
        <w:t xml:space="preserve"> produk</w:t>
      </w:r>
      <w:r w:rsidRPr="00872F7B">
        <w:rPr>
          <w:color w:val="000000"/>
          <w:lang w:val="id-ID"/>
        </w:rPr>
        <w:t xml:space="preserve"> </w:t>
      </w:r>
      <w:r w:rsidRPr="00872F7B">
        <w:rPr>
          <w:color w:val="000000"/>
        </w:rPr>
        <w:t xml:space="preserve">spekulatif </w:t>
      </w:r>
      <w:r w:rsidRPr="00872F7B">
        <w:rPr>
          <w:i/>
          <w:iCs/>
          <w:color w:val="000000"/>
        </w:rPr>
        <w:t>(gharar)</w:t>
      </w:r>
      <w:r w:rsidRPr="00872F7B">
        <w:rPr>
          <w:i/>
          <w:iCs/>
          <w:color w:val="000000"/>
          <w:lang w:val="id-ID"/>
        </w:rPr>
        <w:t xml:space="preserve"> </w:t>
      </w:r>
      <w:r w:rsidRPr="00872F7B">
        <w:rPr>
          <w:color w:val="000000"/>
        </w:rPr>
        <w:t xml:space="preserve">sehingga </w:t>
      </w:r>
      <w:r w:rsidRPr="00872F7B">
        <w:rPr>
          <w:color w:val="000000"/>
          <w:lang w:val="id-ID"/>
        </w:rPr>
        <w:t>memiliki</w:t>
      </w:r>
      <w:r w:rsidRPr="00872F7B">
        <w:rPr>
          <w:color w:val="000000"/>
        </w:rPr>
        <w:t xml:space="preserve"> </w:t>
      </w:r>
      <w:r w:rsidRPr="00872F7B">
        <w:rPr>
          <w:color w:val="000000"/>
          <w:lang w:val="id-ID"/>
        </w:rPr>
        <w:t xml:space="preserve">ketahanan dan ketangguhan </w:t>
      </w:r>
      <w:r w:rsidRPr="00872F7B">
        <w:rPr>
          <w:color w:val="000000"/>
        </w:rPr>
        <w:t xml:space="preserve">dari </w:t>
      </w:r>
      <w:r w:rsidRPr="00872F7B">
        <w:rPr>
          <w:i/>
          <w:iCs/>
          <w:color w:val="000000"/>
        </w:rPr>
        <w:t xml:space="preserve">direct hit </w:t>
      </w:r>
      <w:r w:rsidRPr="00872F7B">
        <w:rPr>
          <w:iCs/>
          <w:color w:val="000000"/>
          <w:lang w:val="id-ID"/>
        </w:rPr>
        <w:t>terhadap</w:t>
      </w:r>
      <w:r w:rsidRPr="00872F7B">
        <w:rPr>
          <w:i/>
          <w:iCs/>
          <w:color w:val="000000"/>
          <w:lang w:val="id-ID"/>
        </w:rPr>
        <w:t xml:space="preserve"> </w:t>
      </w:r>
      <w:r w:rsidRPr="00872F7B">
        <w:rPr>
          <w:color w:val="000000"/>
        </w:rPr>
        <w:t>krisis</w:t>
      </w:r>
      <w:r w:rsidRPr="00872F7B">
        <w:rPr>
          <w:color w:val="000000"/>
          <w:lang w:val="id-ID"/>
        </w:rPr>
        <w:t xml:space="preserve"> </w:t>
      </w:r>
      <w:r w:rsidRPr="00872F7B">
        <w:rPr>
          <w:color w:val="000000"/>
        </w:rPr>
        <w:t>global</w:t>
      </w:r>
      <w:r w:rsidRPr="00872F7B">
        <w:rPr>
          <w:color w:val="000000"/>
          <w:lang w:val="id-ID"/>
        </w:rPr>
        <w:t xml:space="preserve"> bidang keuangan</w:t>
      </w:r>
      <w:r w:rsidRPr="00872F7B">
        <w:rPr>
          <w:color w:val="000000"/>
        </w:rPr>
        <w:t>.</w:t>
      </w:r>
      <w:r w:rsidRPr="00872F7B">
        <w:rPr>
          <w:color w:val="000000"/>
          <w:lang w:val="id-ID"/>
        </w:rPr>
        <w:t xml:space="preserve"> Jadi secara garis besarnya</w:t>
      </w:r>
      <w:r w:rsidRPr="00872F7B">
        <w:rPr>
          <w:color w:val="000000"/>
        </w:rPr>
        <w:t xml:space="preserve">, </w:t>
      </w:r>
      <w:r w:rsidRPr="00872F7B">
        <w:rPr>
          <w:color w:val="000000"/>
          <w:lang w:val="id-ID"/>
        </w:rPr>
        <w:t xml:space="preserve">bank </w:t>
      </w:r>
      <w:r w:rsidRPr="00872F7B">
        <w:rPr>
          <w:color w:val="000000"/>
        </w:rPr>
        <w:t xml:space="preserve">syariah </w:t>
      </w:r>
      <w:r w:rsidRPr="00872F7B">
        <w:rPr>
          <w:color w:val="000000"/>
          <w:lang w:val="id-ID"/>
        </w:rPr>
        <w:t>menciptakan adanya stabilitas</w:t>
      </w:r>
      <w:r w:rsidRPr="00872F7B">
        <w:rPr>
          <w:color w:val="000000"/>
        </w:rPr>
        <w:t xml:space="preserve"> </w:t>
      </w:r>
      <w:r w:rsidRPr="00872F7B">
        <w:rPr>
          <w:color w:val="000000"/>
          <w:lang w:val="id-ID"/>
        </w:rPr>
        <w:t xml:space="preserve">terhadap </w:t>
      </w:r>
      <w:r w:rsidRPr="00872F7B">
        <w:rPr>
          <w:color w:val="000000"/>
        </w:rPr>
        <w:t xml:space="preserve">perekonomian nasional </w:t>
      </w:r>
      <w:r w:rsidRPr="00872F7B">
        <w:rPr>
          <w:color w:val="000000"/>
          <w:lang w:val="id-ID"/>
        </w:rPr>
        <w:t xml:space="preserve">dan </w:t>
      </w:r>
      <w:r w:rsidRPr="00872F7B">
        <w:rPr>
          <w:color w:val="000000"/>
        </w:rPr>
        <w:t xml:space="preserve">keuangan. </w:t>
      </w:r>
    </w:p>
    <w:p w:rsidR="00027898" w:rsidRDefault="00027898" w:rsidP="00027898">
      <w:pPr>
        <w:spacing w:line="360" w:lineRule="auto"/>
        <w:jc w:val="both"/>
        <w:rPr>
          <w:color w:val="000000"/>
          <w:lang w:val="id-ID"/>
        </w:rPr>
      </w:pPr>
      <w:r w:rsidRPr="00872F7B">
        <w:rPr>
          <w:color w:val="000000"/>
          <w:lang w:val="id-ID"/>
        </w:rPr>
        <w:t>Adanya s</w:t>
      </w:r>
      <w:r w:rsidRPr="00872F7B">
        <w:rPr>
          <w:color w:val="000000"/>
        </w:rPr>
        <w:t>istem bagi hasil</w:t>
      </w:r>
      <w:r w:rsidRPr="00872F7B">
        <w:rPr>
          <w:color w:val="000000"/>
          <w:lang w:val="id-ID"/>
        </w:rPr>
        <w:t xml:space="preserve"> dalam</w:t>
      </w:r>
      <w:r w:rsidRPr="00872F7B">
        <w:rPr>
          <w:i/>
          <w:iCs/>
          <w:color w:val="000000"/>
        </w:rPr>
        <w:t xml:space="preserve"> </w:t>
      </w:r>
      <w:r w:rsidRPr="00872F7B">
        <w:rPr>
          <w:color w:val="000000"/>
          <w:lang w:val="id-ID"/>
        </w:rPr>
        <w:t>bank</w:t>
      </w:r>
      <w:r w:rsidRPr="00872F7B">
        <w:rPr>
          <w:color w:val="000000"/>
        </w:rPr>
        <w:t xml:space="preserve"> syariah </w:t>
      </w:r>
      <w:r w:rsidRPr="00872F7B">
        <w:rPr>
          <w:color w:val="000000"/>
          <w:lang w:val="id-ID"/>
        </w:rPr>
        <w:t>sehingga</w:t>
      </w:r>
      <w:r w:rsidRPr="00872F7B">
        <w:rPr>
          <w:color w:val="000000"/>
        </w:rPr>
        <w:t xml:space="preserve"> </w:t>
      </w:r>
      <w:r w:rsidRPr="00872F7B">
        <w:rPr>
          <w:color w:val="000000"/>
          <w:lang w:val="id-ID"/>
        </w:rPr>
        <w:t>memberikan</w:t>
      </w:r>
      <w:r w:rsidRPr="00872F7B">
        <w:rPr>
          <w:color w:val="000000"/>
        </w:rPr>
        <w:t xml:space="preserve"> </w:t>
      </w:r>
      <w:r w:rsidRPr="00872F7B">
        <w:rPr>
          <w:color w:val="000000"/>
          <w:lang w:val="id-ID"/>
        </w:rPr>
        <w:t xml:space="preserve">dampak positif, banyak </w:t>
      </w:r>
      <w:r w:rsidRPr="00872F7B">
        <w:rPr>
          <w:color w:val="000000"/>
        </w:rPr>
        <w:t xml:space="preserve">manfaat </w:t>
      </w:r>
      <w:r w:rsidRPr="00872F7B">
        <w:rPr>
          <w:color w:val="000000"/>
          <w:lang w:val="id-ID"/>
        </w:rPr>
        <w:t>dan adil kepada masyarakat.</w:t>
      </w:r>
      <w:r w:rsidRPr="00872F7B">
        <w:rPr>
          <w:color w:val="000000"/>
        </w:rPr>
        <w:t xml:space="preserve"> </w:t>
      </w:r>
      <w:r w:rsidRPr="00872F7B">
        <w:rPr>
          <w:color w:val="000000"/>
          <w:lang w:val="id-ID"/>
        </w:rPr>
        <w:t xml:space="preserve">Ditinjau dari </w:t>
      </w:r>
      <w:r w:rsidRPr="00872F7B">
        <w:rPr>
          <w:color w:val="000000"/>
        </w:rPr>
        <w:t xml:space="preserve"> pemilik dana</w:t>
      </w:r>
      <w:r w:rsidRPr="00872F7B">
        <w:rPr>
          <w:color w:val="000000"/>
          <w:lang w:val="id-ID"/>
        </w:rPr>
        <w:t xml:space="preserve"> (deposan)</w:t>
      </w:r>
      <w:r w:rsidRPr="00872F7B">
        <w:rPr>
          <w:color w:val="000000"/>
        </w:rPr>
        <w:t xml:space="preserve">, pengelola dana </w:t>
      </w:r>
      <w:r w:rsidRPr="00872F7B">
        <w:rPr>
          <w:color w:val="000000"/>
          <w:lang w:val="id-ID"/>
        </w:rPr>
        <w:t xml:space="preserve">(pihak bank) dan </w:t>
      </w:r>
      <w:r w:rsidRPr="00872F7B">
        <w:rPr>
          <w:color w:val="000000"/>
        </w:rPr>
        <w:t xml:space="preserve">pengusaha </w:t>
      </w:r>
      <w:r w:rsidRPr="00872F7B">
        <w:rPr>
          <w:color w:val="000000"/>
          <w:lang w:val="id-ID"/>
        </w:rPr>
        <w:t>(</w:t>
      </w:r>
      <w:r w:rsidRPr="00872F7B">
        <w:rPr>
          <w:color w:val="000000"/>
        </w:rPr>
        <w:t>debitur</w:t>
      </w:r>
      <w:r w:rsidRPr="00872F7B">
        <w:rPr>
          <w:color w:val="000000"/>
          <w:lang w:val="id-ID"/>
        </w:rPr>
        <w:t>)</w:t>
      </w:r>
      <w:r>
        <w:rPr>
          <w:color w:val="000000"/>
          <w:lang w:val="id-ID"/>
        </w:rPr>
        <w:t xml:space="preserve"> </w:t>
      </w:r>
      <w:r>
        <w:rPr>
          <w:color w:val="000000"/>
          <w:lang w:val="id-ID"/>
        </w:rPr>
        <w:fldChar w:fldCharType="begin" w:fldLock="1"/>
      </w:r>
      <w:r w:rsidR="00AD31BA">
        <w:rPr>
          <w:color w:val="000000"/>
          <w:lang w:val="id-ID"/>
        </w:rPr>
        <w:instrText>ADDIN CSL_CITATION { "citationItems" : [ { "id" : "ITEM-1", "itemData" : { "abstract" : "Perkembangan dan Prospek Perbankan Syariah Indonesia: Tantangan Dalam Menyongsong MEA 2015 1 Dr. Halim Alamsyah Deputi Gubernur Bank Indonesia Pendahuluan Sebagai negara dengan penduduk muslim terbesar 2 , sudah selayaknya Indonesia menjadi pelopor dan kiblat pengembangan keuangan syariah di dunia. Hal ini bukan merupakan 'impian yang mustahil' karena potensi Indonesia untuk menjadi global player keuangan syariah sangat besar, diantaranya: (i) jumlah penduduk muslim yang besar menjadi potensi nasabah industri keuangan syariah; (ii) prospek ekonomi yang cerah, tercermin dari pertumbuhan ekonomi yang relatif tinggi (kisaran 6,0%-6,5%) yang ditopang oleh fundamental ekonomi yang solid; (iii) peningkatan sovereign credit rating Indonesia menjadi investment grade yang akan meningkatkan minat investor untuk berinvestasi di sektor keuangan domestik, termasuk industri keuangan syariah; dan (iv) memiliki sumber daya alam yang melimpah yang dapat dijadikan sebagai underlying transaksi industri keuangan syariah. Dalam penilaian Global Islamic Financial Report (GIFR) tahun 2011, Indonesia menduduki urutan keempat negara yang memiliki potensi dan kondusif dalam pengembangan industri keuangan syariah setelah Iran, Malaysia dan Saudi Arabia (Grafik 1). Dengan melihat beberapa aspek dalam penghitungan indeks, seperti jumlah bank syariah, jumlah lembaga keuangan non-bank syariah, maupun ukuran aset keuangan syariah yang memiliki bobot terbesar, maka Indonesia diproyeksikan akan menduduki peringkat pertama dalam beberapa tahun ke depan. Optimisme ini sejalan dengan laju ekspansi kelembagaan dan akselerasi pertumbuhan aset perbankan syariah yang sangat tinggi, ditambah dengan volume penerbitan sukuk yang terus meningkat. Pengembangan keuangan syariah di Indonesia yang lebih bersifat market driven dan dorongan bottom up dalam memenuhi kebutuhan masyarakat sehingga lebih bertumpu pada sektor riil juga menjadi keunggulan tersendiri. Berbeda dengan perkembangan keuangan syariah di Iran, Malaysia, dan Arab Saudi, dimana perkembangan keuangan syariahnya lebih bertumpu pada sektor keuangan, bukan sektor riil, dan peranan pemerintah sangat dominan. Selain dalam", "author" : [ { "dropping-particle" : "", "family" : "Alamsyah", "given" : "Halim", "non-dropping-particle" : "", "parse-names" : false, "suffix" : "" } ], "container-title" : "Milad ke-8 Ikatan Ahli Ekonomi Islam (IAEI)", "id" : "ITEM-1", "issue" : "April 2012", "issued" : { "date-parts" : [ [ "2012" ] ] }, "page" : "1-8", "title" : "Perkembangan dan Prospek Perbankan Syariah Indonesia: Tantangan Dalam Menyongsong MEA 2015", "type" : "article-journal" }, "uris" : [ "http://www.mendeley.com/documents/?uuid=7e01227d-f746-46ad-b919-5caf4aae5bcb" ] } ], "mendeley" : { "formattedCitation" : "(Alamsyah 2012)", "manualFormatting" : "(Alamsyah, 2012)", "plainTextFormattedCitation" : "(Alamsyah 2012)", "previouslyFormattedCitation" : "(Alamsyah 2012)" }, "properties" : { "noteIndex" : 0 }, "schema" : "https://github.com/citation-style-language/schema/raw/master/csl-citation.json" }</w:instrText>
      </w:r>
      <w:r>
        <w:rPr>
          <w:color w:val="000000"/>
          <w:lang w:val="id-ID"/>
        </w:rPr>
        <w:fldChar w:fldCharType="separate"/>
      </w:r>
      <w:r w:rsidRPr="00027898">
        <w:rPr>
          <w:noProof/>
          <w:color w:val="000000"/>
          <w:lang w:val="id-ID"/>
        </w:rPr>
        <w:t>(Alamsyah</w:t>
      </w:r>
      <w:r>
        <w:rPr>
          <w:noProof/>
          <w:color w:val="000000"/>
          <w:lang w:val="id-ID"/>
        </w:rPr>
        <w:t>, 2012</w:t>
      </w:r>
      <w:r w:rsidRPr="00027898">
        <w:rPr>
          <w:noProof/>
          <w:color w:val="000000"/>
          <w:lang w:val="id-ID"/>
        </w:rPr>
        <w:t>)</w:t>
      </w:r>
      <w:r>
        <w:rPr>
          <w:color w:val="000000"/>
          <w:lang w:val="id-ID"/>
        </w:rPr>
        <w:fldChar w:fldCharType="end"/>
      </w:r>
      <w:r>
        <w:rPr>
          <w:color w:val="000000"/>
          <w:lang w:val="id-ID"/>
        </w:rPr>
        <w:t>.</w:t>
      </w:r>
    </w:p>
    <w:p w:rsidR="00086CC2" w:rsidRDefault="00086CC2" w:rsidP="00086CC2">
      <w:pPr>
        <w:pStyle w:val="ListParagraph"/>
        <w:spacing w:line="360" w:lineRule="auto"/>
        <w:ind w:left="0" w:firstLine="720"/>
        <w:jc w:val="both"/>
        <w:rPr>
          <w:color w:val="000000"/>
          <w:lang w:val="id-ID" w:eastAsia="id-ID"/>
        </w:rPr>
      </w:pPr>
      <w:r w:rsidRPr="001130E4">
        <w:rPr>
          <w:color w:val="000000"/>
          <w:lang w:val="id-ID" w:eastAsia="id-ID"/>
        </w:rPr>
        <w:t>Sejak tahun</w:t>
      </w:r>
      <w:r w:rsidRPr="001130E4">
        <w:rPr>
          <w:lang w:val="id-ID" w:eastAsia="id-ID"/>
        </w:rPr>
        <w:t xml:space="preserve"> </w:t>
      </w:r>
      <w:r w:rsidRPr="001130E4">
        <w:rPr>
          <w:color w:val="000000"/>
          <w:lang w:val="id-ID" w:eastAsia="id-ID"/>
        </w:rPr>
        <w:t xml:space="preserve">1988 pada saat pemerintah mengeluarkan Paket Kebijakan Oktober (Pakto) yang berisikan tentang liberalisasi industri terhadap perbankan pada saat inilah </w:t>
      </w:r>
      <w:r w:rsidRPr="001130E4">
        <w:rPr>
          <w:color w:val="000000"/>
          <w:lang w:val="id-ID" w:eastAsia="id-ID"/>
        </w:rPr>
        <w:lastRenderedPageBreak/>
        <w:t>adanya gagasan perbankan syariah yang mana para ulama-ulama berusaha agar mendirikan bank tanpa bunga namun tidak adanya perangkat hukum yang bisa untuk dijadikan rujukan terkecuali sistem dalam perbankan menetapkan bunganya sebesar 0% (nol persen). Pada tanggal 19 s/d 22 Agustus 1990 di Cisarua, Bogor adanya lokakarya ulama Indonesia yang merekomendasikan tentang perbankan dan bunga bank. Pada tanggal 22-25 Agustus 1990 diadakan Musyawarah Nasional (Munas)  ke- IV oleh Majelis Ulama Indonesia (MUI) di hotel Sahid Jaya, Jakarta pembahasan lebih lanjut dan mendalam tentang pembentukan kelompok-kelompok kerja serta pendirian bank syariah di Indonesia</w:t>
      </w:r>
      <w:r>
        <w:rPr>
          <w:color w:val="000000"/>
          <w:lang w:val="id-ID" w:eastAsia="id-ID"/>
        </w:rPr>
        <w:t xml:space="preserve"> </w:t>
      </w:r>
      <w:r>
        <w:rPr>
          <w:color w:val="000000"/>
          <w:lang w:val="id-ID" w:eastAsia="id-ID"/>
        </w:rPr>
        <w:fldChar w:fldCharType="begin" w:fldLock="1"/>
      </w:r>
      <w:r w:rsidR="00AD31BA">
        <w:rPr>
          <w:color w:val="000000"/>
          <w:lang w:val="id-ID" w:eastAsia="id-ID"/>
        </w:rPr>
        <w:instrText>ADDIN CSL_CITATION { "citationItems" : [ { "id" : "ITEM-1", "itemData" : { "abstract" : "Sharia banking in Indonesia has approached 24 years of age. This age implies that it such sharia banking has shifted to maturity phase. It has developed significantly compared to that of previous years. It can be observed from its average growth of its assets, DPK, PYD which is 45% higher than the years of 2000 up to 2014. However, it is expected that it must able to make use of opportunities which are presently available to encounter challenges in the future, Consequently, it should be able to take advantage of supports and contributions of other such related parties as government, ulama, society, academicians, and students majoring in sharia banking as well.", "author" : [ { "dropping-particle" : "", "family" : "Nofinawati", "given" : "", "non-dropping-particle" : "", "parse-names" : false, "suffix" : "" } ], "container-title" : "Jurnal JURIS", "id" : "ITEM-1", "issue" : "2", "issued" : { "date-parts" : [ [ "2015" ] ] }, "page" : "168-183", "title" : "Perkembangan perbankan syariah di indonesia", "type" : "article-journal", "volume" : "14" }, "uris" : [ "http://www.mendeley.com/documents/?uuid=425fc8f5-5746-40d1-9035-a778b00e69a4" ] } ], "mendeley" : { "formattedCitation" : "(Nofinawati 2015)", "manualFormatting" : "(Nofinawati, 2015)", "plainTextFormattedCitation" : "(Nofinawati 2015)", "previouslyFormattedCitation" : "(Nofinawati 2015)" }, "properties" : { "noteIndex" : 0 }, "schema" : "https://github.com/citation-style-language/schema/raw/master/csl-citation.json" }</w:instrText>
      </w:r>
      <w:r>
        <w:rPr>
          <w:color w:val="000000"/>
          <w:lang w:val="id-ID" w:eastAsia="id-ID"/>
        </w:rPr>
        <w:fldChar w:fldCharType="separate"/>
      </w:r>
      <w:r w:rsidRPr="00086CC2">
        <w:rPr>
          <w:noProof/>
          <w:color w:val="000000"/>
          <w:lang w:val="id-ID" w:eastAsia="id-ID"/>
        </w:rPr>
        <w:t>(Nofinawati</w:t>
      </w:r>
      <w:r>
        <w:rPr>
          <w:noProof/>
          <w:color w:val="000000"/>
          <w:lang w:val="id-ID" w:eastAsia="id-ID"/>
        </w:rPr>
        <w:t>, 2015</w:t>
      </w:r>
      <w:r w:rsidRPr="00086CC2">
        <w:rPr>
          <w:noProof/>
          <w:color w:val="000000"/>
          <w:lang w:val="id-ID" w:eastAsia="id-ID"/>
        </w:rPr>
        <w:t>)</w:t>
      </w:r>
      <w:r>
        <w:rPr>
          <w:color w:val="000000"/>
          <w:lang w:val="id-ID" w:eastAsia="id-ID"/>
        </w:rPr>
        <w:fldChar w:fldCharType="end"/>
      </w:r>
      <w:r>
        <w:rPr>
          <w:color w:val="000000"/>
          <w:lang w:val="id-ID" w:eastAsia="id-ID"/>
        </w:rPr>
        <w:t>.</w:t>
      </w:r>
    </w:p>
    <w:p w:rsidR="000A5B99" w:rsidRDefault="000A5B99" w:rsidP="000A5B99">
      <w:pPr>
        <w:pStyle w:val="ListParagraph"/>
        <w:spacing w:line="360" w:lineRule="auto"/>
        <w:ind w:left="0" w:firstLine="720"/>
        <w:jc w:val="both"/>
        <w:rPr>
          <w:color w:val="000000"/>
          <w:lang w:val="id-ID" w:eastAsia="id-ID"/>
        </w:rPr>
      </w:pPr>
      <w:r w:rsidRPr="001130E4">
        <w:rPr>
          <w:color w:val="000000"/>
          <w:lang w:val="id-ID" w:eastAsia="id-ID"/>
        </w:rPr>
        <w:t>Bank syariah pertama di Indonesia adalah bank Muamalat sebelum dibentuknya undang-undang No 7 tahun 1992</w:t>
      </w:r>
      <w:r>
        <w:rPr>
          <w:color w:val="000000"/>
          <w:lang w:val="id-ID" w:eastAsia="id-ID"/>
        </w:rPr>
        <w:t xml:space="preserve"> </w:t>
      </w:r>
      <w:r>
        <w:rPr>
          <w:color w:val="000000"/>
          <w:lang w:val="id-ID" w:eastAsia="id-ID"/>
        </w:rPr>
        <w:fldChar w:fldCharType="begin" w:fldLock="1"/>
      </w:r>
      <w:r w:rsidR="00AD31BA">
        <w:rPr>
          <w:color w:val="000000"/>
          <w:lang w:val="id-ID" w:eastAsia="id-ID"/>
        </w:rPr>
        <w:instrText>ADDIN CSL_CITATION { "citationItems" : [ { "id" : "ITEM-1", "itemData" : { "abstract" : "Sharia banking in Indonesia has approached 24 years of age. This age implies that it such sharia banking has shifted to maturity phase. It has developed significantly compared to that of previous years. It can be observed from its average growth of its assets, DPK, PYD which is 45% higher than the years of 2000 up to 2014. However, it is expected that it must able to make use of opportunities which are presently available to encounter challenges in the future, Consequently, it should be able to take advantage of supports and contributions of other such related parties as government, ulama, society, academicians, and students majoring in sharia banking as well.", "author" : [ { "dropping-particle" : "", "family" : "Nofinawati", "given" : "", "non-dropping-particle" : "", "parse-names" : false, "suffix" : "" } ], "container-title" : "Jurnal JURIS", "id" : "ITEM-1", "issue" : "2", "issued" : { "date-parts" : [ [ "2015" ] ] }, "page" : "168-183", "title" : "Perkembangan perbankan syariah di indonesia", "type" : "article-journal", "volume" : "14" }, "uris" : [ "http://www.mendeley.com/documents/?uuid=425fc8f5-5746-40d1-9035-a778b00e69a4" ] } ], "mendeley" : { "formattedCitation" : "(Nofinawati 2015)", "manualFormatting" : "(Nofinawati, 2015)", "plainTextFormattedCitation" : "(Nofinawati 2015)", "previouslyFormattedCitation" : "(Nofinawati 2015)" }, "properties" : { "noteIndex" : 0 }, "schema" : "https://github.com/citation-style-language/schema/raw/master/csl-citation.json" }</w:instrText>
      </w:r>
      <w:r>
        <w:rPr>
          <w:color w:val="000000"/>
          <w:lang w:val="id-ID" w:eastAsia="id-ID"/>
        </w:rPr>
        <w:fldChar w:fldCharType="separate"/>
      </w:r>
      <w:r w:rsidRPr="000A5B99">
        <w:rPr>
          <w:noProof/>
          <w:color w:val="000000"/>
          <w:lang w:val="id-ID" w:eastAsia="id-ID"/>
        </w:rPr>
        <w:t>(Nofinawati</w:t>
      </w:r>
      <w:r>
        <w:rPr>
          <w:noProof/>
          <w:color w:val="000000"/>
          <w:lang w:val="id-ID" w:eastAsia="id-ID"/>
        </w:rPr>
        <w:t>, 2015</w:t>
      </w:r>
      <w:r w:rsidRPr="000A5B99">
        <w:rPr>
          <w:noProof/>
          <w:color w:val="000000"/>
          <w:lang w:val="id-ID" w:eastAsia="id-ID"/>
        </w:rPr>
        <w:t>)</w:t>
      </w:r>
      <w:r>
        <w:rPr>
          <w:color w:val="000000"/>
          <w:lang w:val="id-ID" w:eastAsia="id-ID"/>
        </w:rPr>
        <w:fldChar w:fldCharType="end"/>
      </w:r>
      <w:r>
        <w:rPr>
          <w:color w:val="000000"/>
          <w:lang w:val="id-ID" w:eastAsia="id-ID"/>
        </w:rPr>
        <w:t xml:space="preserve">. </w:t>
      </w:r>
      <w:r w:rsidRPr="001130E4">
        <w:rPr>
          <w:color w:val="000000"/>
          <w:lang w:val="id-ID" w:eastAsia="id-ID"/>
        </w:rPr>
        <w:t xml:space="preserve">PT Bank Muamalat Indonesia lahir dari kerja tim perbankan Majelis Ulama Indonesia (MUI), yang mana pada tanggal </w:t>
      </w:r>
      <w:r w:rsidR="00CD5172">
        <w:rPr>
          <w:color w:val="000000"/>
          <w:lang w:val="id-ID" w:eastAsia="id-ID"/>
        </w:rPr>
        <w:t xml:space="preserve">           </w:t>
      </w:r>
      <w:r w:rsidRPr="001130E4">
        <w:rPr>
          <w:color w:val="000000"/>
          <w:lang w:val="id-ID" w:eastAsia="id-ID"/>
        </w:rPr>
        <w:t>1 November 1991 ditanda tanganilah akte pendirian PT Bank Muamalat Indonesia, terkumpul pembelian saham sebesar Rp. 84 miliar.</w:t>
      </w:r>
    </w:p>
    <w:p w:rsidR="00BB25D6" w:rsidRDefault="00BB25D6" w:rsidP="00BB25D6">
      <w:pPr>
        <w:pStyle w:val="ListParagraph"/>
        <w:spacing w:line="360" w:lineRule="auto"/>
        <w:ind w:left="0" w:firstLine="720"/>
        <w:jc w:val="both"/>
        <w:rPr>
          <w:lang w:val="id-ID" w:eastAsia="id-ID"/>
        </w:rPr>
      </w:pPr>
      <w:r w:rsidRPr="001130E4">
        <w:rPr>
          <w:color w:val="000000"/>
          <w:lang w:val="id-ID" w:eastAsia="id-ID"/>
        </w:rPr>
        <w:t xml:space="preserve">Kemudian pada tanggal 3 Nopember 1991, acara silaturahmi Presiden di Istana Bogor, disetorlah untuk modal awal sebesar Rp. 106.126.382.000,-. Sejumlah dana modal awal itu berasal dari presiden dan wakil presiden, Supersemar, sepuluh menteri Kabinet Pembangunan V, Yayasan Amal Bakti Muslim Pancasila, Yayasan Dakab, </w:t>
      </w:r>
      <w:r w:rsidR="00CD5172">
        <w:rPr>
          <w:color w:val="000000"/>
          <w:lang w:val="id-ID" w:eastAsia="id-ID"/>
        </w:rPr>
        <w:t xml:space="preserve">Dharmais, Purna Bhakti Pertiwi, </w:t>
      </w:r>
      <w:r w:rsidRPr="001130E4">
        <w:rPr>
          <w:color w:val="000000"/>
          <w:lang w:val="id-ID" w:eastAsia="id-ID"/>
        </w:rPr>
        <w:t>PT Pindad dan PT PAL. Sebagai penopang bank syariah berasal dari yayasan Dana Dakwah Pembangunan. Dari hasil terkumpulnya modal awal t</w:t>
      </w:r>
      <w:r>
        <w:rPr>
          <w:color w:val="000000"/>
          <w:lang w:val="id-ID" w:eastAsia="id-ID"/>
        </w:rPr>
        <w:t xml:space="preserve">ersebut pada tanggal 1 Mei 1992 </w:t>
      </w:r>
      <w:r w:rsidRPr="001130E4">
        <w:rPr>
          <w:color w:val="000000"/>
          <w:lang w:val="id-ID" w:eastAsia="id-ID"/>
        </w:rPr>
        <w:t xml:space="preserve">PT Bank Muamalat Indonesia mulai beroperasi, dengan diperkuat ada nya </w:t>
      </w:r>
      <w:r w:rsidRPr="009D3BFD">
        <w:rPr>
          <w:color w:val="000000"/>
          <w:lang w:val="id-ID" w:eastAsia="id-ID"/>
        </w:rPr>
        <w:t xml:space="preserve">Undang-undang No 7 tahun 1992 tentang Perbankan yang diperjelas lagi dalam </w:t>
      </w:r>
      <w:r w:rsidRPr="00872F7B">
        <w:rPr>
          <w:color w:val="000000"/>
          <w:lang w:val="id-ID" w:eastAsia="id-ID"/>
        </w:rPr>
        <w:t xml:space="preserve">pasal 13 ayat (c) menyatakan bahwa salah satu usaha Bank Perkreditan Rakyat (BPR) menyediakan Pembiayaan bagi nasabah berdasarkan prinsip bagi hasil sesuai dengan ketentuan yang ditetapkan. Setelah dikeluarkan nya UU No 7 tahun 1992 pasal 13 ayat (c) pada tanggal </w:t>
      </w:r>
      <w:r w:rsidRPr="001130E4">
        <w:rPr>
          <w:lang w:eastAsia="id-ID"/>
        </w:rPr>
        <w:t>30 Oktober</w:t>
      </w:r>
      <w:r w:rsidRPr="001130E4">
        <w:rPr>
          <w:lang w:val="id-ID" w:eastAsia="id-ID"/>
        </w:rPr>
        <w:t xml:space="preserve"> </w:t>
      </w:r>
      <w:r w:rsidRPr="001130E4">
        <w:rPr>
          <w:lang w:eastAsia="id-ID"/>
        </w:rPr>
        <w:t>1992</w:t>
      </w:r>
      <w:r w:rsidRPr="001130E4">
        <w:rPr>
          <w:lang w:val="id-ID" w:eastAsia="id-ID"/>
        </w:rPr>
        <w:t xml:space="preserve"> dikeluarkan nya Peraturan Pemeruntah (PP) </w:t>
      </w:r>
      <w:r w:rsidRPr="001130E4">
        <w:rPr>
          <w:lang w:eastAsia="id-ID"/>
        </w:rPr>
        <w:t>No. 72 tahun 1992</w:t>
      </w:r>
      <w:r w:rsidRPr="001130E4">
        <w:rPr>
          <w:lang w:val="id-ID" w:eastAsia="id-ID"/>
        </w:rPr>
        <w:t xml:space="preserve"> </w:t>
      </w:r>
      <w:r w:rsidRPr="001130E4">
        <w:rPr>
          <w:lang w:eastAsia="id-ID"/>
        </w:rPr>
        <w:t>tentang bank berdasarkan prinsip</w:t>
      </w:r>
      <w:r w:rsidRPr="001130E4">
        <w:rPr>
          <w:lang w:val="id-ID" w:eastAsia="id-ID"/>
        </w:rPr>
        <w:t xml:space="preserve"> </w:t>
      </w:r>
      <w:r w:rsidRPr="001130E4">
        <w:rPr>
          <w:lang w:eastAsia="id-ID"/>
        </w:rPr>
        <w:t>bagi hasi</w:t>
      </w:r>
      <w:r w:rsidRPr="00066D07">
        <w:rPr>
          <w:lang w:eastAsia="id-ID"/>
        </w:rPr>
        <w:t>l</w:t>
      </w:r>
      <w:r>
        <w:rPr>
          <w:lang w:val="id-ID" w:eastAsia="id-ID"/>
        </w:rPr>
        <w:t xml:space="preserve"> </w:t>
      </w:r>
      <w:r>
        <w:rPr>
          <w:lang w:val="id-ID" w:eastAsia="id-ID"/>
        </w:rPr>
        <w:fldChar w:fldCharType="begin" w:fldLock="1"/>
      </w:r>
      <w:r w:rsidR="00AD31BA">
        <w:rPr>
          <w:lang w:val="id-ID" w:eastAsia="id-ID"/>
        </w:rPr>
        <w:instrText>ADDIN CSL_CITATION { "citationItems" : [ { "id" : "ITEM-1", "itemData" : { "abstract" : "Sharia banking in Indonesia has approached 24 years of age. This age implies that it such sharia banking has shifted to maturity phase. It has developed significantly compared to that of previous years. It can be observed from its average growth of its assets, DPK, PYD which is 45% higher than the years of 2000 up to 2014. However, it is expected that it must able to make use of opportunities which are presently available to encounter challenges in the future, Consequently, it should be able to take advantage of supports and contributions of other such related parties as government, ulama, society, academicians, and students majoring in sharia banking as well.", "author" : [ { "dropping-particle" : "", "family" : "Nofinawati", "given" : "", "non-dropping-particle" : "", "parse-names" : false, "suffix" : "" } ], "container-title" : "Jurnal JURIS", "id" : "ITEM-1", "issue" : "2", "issued" : { "date-parts" : [ [ "2015" ] ] }, "page" : "168-183", "title" : "Perkembangan perbankan syariah di indonesia", "type" : "article-journal", "volume" : "14" }, "uris" : [ "http://www.mendeley.com/documents/?uuid=425fc8f5-5746-40d1-9035-a778b00e69a4" ] } ], "mendeley" : { "formattedCitation" : "(Nofinawati 2015)", "manualFormatting" : "(Nofinawati, 2015)", "plainTextFormattedCitation" : "(Nofinawati 2015)", "previouslyFormattedCitation" : "(Nofinawati 2015)" }, "properties" : { "noteIndex" : 0 }, "schema" : "https://github.com/citation-style-language/schema/raw/master/csl-citation.json" }</w:instrText>
      </w:r>
      <w:r>
        <w:rPr>
          <w:lang w:val="id-ID" w:eastAsia="id-ID"/>
        </w:rPr>
        <w:fldChar w:fldCharType="separate"/>
      </w:r>
      <w:r w:rsidRPr="00BB25D6">
        <w:rPr>
          <w:noProof/>
          <w:lang w:val="id-ID" w:eastAsia="id-ID"/>
        </w:rPr>
        <w:t>(Nofinawati</w:t>
      </w:r>
      <w:r>
        <w:rPr>
          <w:noProof/>
          <w:lang w:val="id-ID" w:eastAsia="id-ID"/>
        </w:rPr>
        <w:t>, 2015</w:t>
      </w:r>
      <w:r w:rsidRPr="00BB25D6">
        <w:rPr>
          <w:noProof/>
          <w:lang w:val="id-ID" w:eastAsia="id-ID"/>
        </w:rPr>
        <w:t>)</w:t>
      </w:r>
      <w:r>
        <w:rPr>
          <w:lang w:val="id-ID" w:eastAsia="id-ID"/>
        </w:rPr>
        <w:fldChar w:fldCharType="end"/>
      </w:r>
      <w:r>
        <w:rPr>
          <w:lang w:val="id-ID" w:eastAsia="id-ID"/>
        </w:rPr>
        <w:t>.</w:t>
      </w:r>
    </w:p>
    <w:p w:rsidR="005D4E81" w:rsidRDefault="00BB25D6" w:rsidP="005D4E81">
      <w:pPr>
        <w:pStyle w:val="ListParagraph"/>
        <w:spacing w:line="360" w:lineRule="auto"/>
        <w:ind w:left="0" w:firstLine="720"/>
        <w:jc w:val="both"/>
        <w:rPr>
          <w:lang w:val="id-ID" w:eastAsia="id-ID"/>
        </w:rPr>
      </w:pPr>
      <w:r w:rsidRPr="001130E4">
        <w:rPr>
          <w:color w:val="000000"/>
          <w:lang w:val="id-ID" w:eastAsia="id-ID"/>
        </w:rPr>
        <w:t xml:space="preserve">Setelah berdirinya PT Bank Muamalat Indonesia disertai berdirinnya </w:t>
      </w:r>
      <w:r w:rsidRPr="001130E4">
        <w:rPr>
          <w:lang w:eastAsia="id-ID"/>
        </w:rPr>
        <w:t>Bank</w:t>
      </w:r>
      <w:r w:rsidRPr="001130E4">
        <w:rPr>
          <w:lang w:val="id-ID" w:eastAsia="id-ID"/>
        </w:rPr>
        <w:t xml:space="preserve"> </w:t>
      </w:r>
      <w:r w:rsidRPr="001130E4">
        <w:rPr>
          <w:lang w:eastAsia="id-ID"/>
        </w:rPr>
        <w:t>Perkreditan Rakyat</w:t>
      </w:r>
      <w:r w:rsidRPr="001130E4">
        <w:rPr>
          <w:lang w:val="id-ID" w:eastAsia="id-ID"/>
        </w:rPr>
        <w:t xml:space="preserve"> </w:t>
      </w:r>
      <w:r w:rsidRPr="001130E4">
        <w:rPr>
          <w:lang w:eastAsia="id-ID"/>
        </w:rPr>
        <w:t>Syariah (BPRS)</w:t>
      </w:r>
      <w:r w:rsidRPr="001130E4">
        <w:rPr>
          <w:lang w:val="id-ID" w:eastAsia="id-ID"/>
        </w:rPr>
        <w:t xml:space="preserve">, tetapi kedua lembaga keuangan tersebut belum mapu untuk menjangkau masyarakat islam untuk kalangan bawah maka didirikanlah suatu lembaga </w:t>
      </w:r>
      <w:r>
        <w:rPr>
          <w:lang w:val="id-ID" w:eastAsia="id-ID"/>
        </w:rPr>
        <w:t xml:space="preserve">mikro syariah yang diberi nama </w:t>
      </w:r>
      <w:r w:rsidRPr="001130E4">
        <w:rPr>
          <w:lang w:eastAsia="id-ID"/>
        </w:rPr>
        <w:t>Baitul Maal Wattamwil</w:t>
      </w:r>
      <w:r w:rsidRPr="001130E4">
        <w:rPr>
          <w:lang w:val="id-ID" w:eastAsia="id-ID"/>
        </w:rPr>
        <w:t xml:space="preserve"> </w:t>
      </w:r>
      <w:r w:rsidRPr="001130E4">
        <w:rPr>
          <w:lang w:eastAsia="id-ID"/>
        </w:rPr>
        <w:t>(BMT)</w:t>
      </w:r>
      <w:r w:rsidRPr="001130E4">
        <w:rPr>
          <w:lang w:val="id-ID" w:eastAsia="id-ID"/>
        </w:rPr>
        <w:t>.</w:t>
      </w:r>
      <w:r w:rsidRPr="00872F7B">
        <w:rPr>
          <w:b/>
          <w:color w:val="000000"/>
          <w:lang w:val="id-ID" w:eastAsia="id-ID"/>
        </w:rPr>
        <w:t xml:space="preserve"> </w:t>
      </w:r>
      <w:r w:rsidRPr="001130E4">
        <w:rPr>
          <w:color w:val="000000"/>
          <w:lang w:val="id-ID" w:eastAsia="id-ID"/>
        </w:rPr>
        <w:t>Selama dua tahun PT Bank Muamalat Indonesia</w:t>
      </w:r>
      <w:r w:rsidRPr="001130E4">
        <w:rPr>
          <w:lang w:eastAsia="id-ID"/>
        </w:rPr>
        <w:t xml:space="preserve"> beroperasi,</w:t>
      </w:r>
      <w:r w:rsidRPr="001130E4">
        <w:rPr>
          <w:lang w:val="id-ID" w:eastAsia="id-ID"/>
        </w:rPr>
        <w:t xml:space="preserve"> </w:t>
      </w:r>
      <w:r w:rsidRPr="001130E4">
        <w:rPr>
          <w:lang w:eastAsia="id-ID"/>
        </w:rPr>
        <w:t>mensponsori</w:t>
      </w:r>
      <w:r w:rsidRPr="001130E4">
        <w:rPr>
          <w:lang w:val="id-ID" w:eastAsia="id-ID"/>
        </w:rPr>
        <w:t xml:space="preserve"> </w:t>
      </w:r>
      <w:r w:rsidRPr="001130E4">
        <w:rPr>
          <w:lang w:eastAsia="id-ID"/>
        </w:rPr>
        <w:t>berdirinya Syarikat</w:t>
      </w:r>
      <w:r w:rsidRPr="001130E4">
        <w:rPr>
          <w:lang w:val="id-ID" w:eastAsia="id-ID"/>
        </w:rPr>
        <w:t xml:space="preserve"> </w:t>
      </w:r>
      <w:r w:rsidRPr="001130E4">
        <w:rPr>
          <w:lang w:eastAsia="id-ID"/>
        </w:rPr>
        <w:t>Takaful</w:t>
      </w:r>
      <w:r w:rsidRPr="001130E4">
        <w:rPr>
          <w:lang w:val="id-ID" w:eastAsia="id-ID"/>
        </w:rPr>
        <w:t xml:space="preserve"> </w:t>
      </w:r>
      <w:r w:rsidRPr="001130E4">
        <w:rPr>
          <w:lang w:eastAsia="id-ID"/>
        </w:rPr>
        <w:t xml:space="preserve">Indonesia (STI) </w:t>
      </w:r>
      <w:r w:rsidRPr="001130E4">
        <w:rPr>
          <w:lang w:val="id-ID" w:eastAsia="id-ID"/>
        </w:rPr>
        <w:t xml:space="preserve">dan </w:t>
      </w:r>
      <w:r w:rsidRPr="001130E4">
        <w:rPr>
          <w:lang w:eastAsia="id-ID"/>
        </w:rPr>
        <w:t>asuransi Islam</w:t>
      </w:r>
      <w:r w:rsidRPr="001130E4">
        <w:rPr>
          <w:lang w:val="id-ID" w:eastAsia="id-ID"/>
        </w:rPr>
        <w:t xml:space="preserve"> serta </w:t>
      </w:r>
      <w:r w:rsidRPr="001130E4">
        <w:rPr>
          <w:lang w:eastAsia="id-ID"/>
        </w:rPr>
        <w:t>menjadi</w:t>
      </w:r>
      <w:r w:rsidRPr="001130E4">
        <w:rPr>
          <w:lang w:val="id-ID" w:eastAsia="id-ID"/>
        </w:rPr>
        <w:t xml:space="preserve"> </w:t>
      </w:r>
      <w:r w:rsidRPr="001130E4">
        <w:rPr>
          <w:lang w:eastAsia="id-ID"/>
        </w:rPr>
        <w:t xml:space="preserve">salah satu pemegang sahamnya. </w:t>
      </w:r>
    </w:p>
    <w:p w:rsidR="005D4E81" w:rsidRPr="001130E4" w:rsidRDefault="005D4E81" w:rsidP="005D4E81">
      <w:pPr>
        <w:pStyle w:val="ListParagraph"/>
        <w:spacing w:line="360" w:lineRule="auto"/>
        <w:ind w:left="0" w:firstLine="720"/>
        <w:jc w:val="both"/>
        <w:rPr>
          <w:lang w:val="id-ID" w:eastAsia="id-ID"/>
        </w:rPr>
      </w:pPr>
      <w:r w:rsidRPr="001130E4">
        <w:rPr>
          <w:lang w:val="id-ID" w:eastAsia="id-ID"/>
        </w:rPr>
        <w:lastRenderedPageBreak/>
        <w:t xml:space="preserve">Pada tahun 1998 </w:t>
      </w:r>
      <w:r w:rsidRPr="001130E4">
        <w:rPr>
          <w:color w:val="000000"/>
          <w:lang w:val="id-ID" w:eastAsia="id-ID"/>
        </w:rPr>
        <w:t xml:space="preserve">dikeluarkannya </w:t>
      </w:r>
      <w:r w:rsidRPr="001130E4">
        <w:rPr>
          <w:lang w:eastAsia="id-ID"/>
        </w:rPr>
        <w:t>UU</w:t>
      </w:r>
      <w:r w:rsidRPr="001130E4">
        <w:rPr>
          <w:lang w:val="id-ID" w:eastAsia="id-ID"/>
        </w:rPr>
        <w:t xml:space="preserve"> </w:t>
      </w:r>
      <w:r w:rsidRPr="001130E4">
        <w:rPr>
          <w:lang w:eastAsia="id-ID"/>
        </w:rPr>
        <w:t>No. 10 tahun 1998 tentang</w:t>
      </w:r>
      <w:r w:rsidRPr="001130E4">
        <w:rPr>
          <w:lang w:val="id-ID" w:eastAsia="id-ID"/>
        </w:rPr>
        <w:t xml:space="preserve"> </w:t>
      </w:r>
      <w:r w:rsidRPr="001130E4">
        <w:rPr>
          <w:lang w:eastAsia="id-ID"/>
        </w:rPr>
        <w:t>perubahan UU No. 7 tahun 1992</w:t>
      </w:r>
      <w:r w:rsidRPr="001130E4">
        <w:rPr>
          <w:lang w:val="id-ID" w:eastAsia="id-ID"/>
        </w:rPr>
        <w:t xml:space="preserve"> </w:t>
      </w:r>
      <w:r w:rsidRPr="001130E4">
        <w:rPr>
          <w:lang w:eastAsia="id-ID"/>
        </w:rPr>
        <w:t>tentang</w:t>
      </w:r>
      <w:r w:rsidRPr="001130E4">
        <w:rPr>
          <w:lang w:val="id-ID" w:eastAsia="id-ID"/>
        </w:rPr>
        <w:t xml:space="preserve"> </w:t>
      </w:r>
      <w:r w:rsidRPr="001130E4">
        <w:rPr>
          <w:lang w:eastAsia="id-ID"/>
        </w:rPr>
        <w:t>Perbankan</w:t>
      </w:r>
      <w:r w:rsidRPr="001130E4">
        <w:rPr>
          <w:lang w:val="id-ID" w:eastAsia="id-ID"/>
        </w:rPr>
        <w:t xml:space="preserve"> yang mana terdapat perubahan terhadap peluang untuk</w:t>
      </w:r>
      <w:r>
        <w:rPr>
          <w:lang w:val="id-ID" w:eastAsia="id-ID"/>
        </w:rPr>
        <w:t xml:space="preserve"> </w:t>
      </w:r>
      <w:r w:rsidRPr="001130E4">
        <w:rPr>
          <w:lang w:val="id-ID" w:eastAsia="id-ID"/>
        </w:rPr>
        <w:t xml:space="preserve">perkembangan bank syariah, </w:t>
      </w:r>
      <w:r w:rsidRPr="001130E4">
        <w:rPr>
          <w:lang w:eastAsia="id-ID"/>
        </w:rPr>
        <w:t>UU</w:t>
      </w:r>
      <w:r w:rsidRPr="001130E4">
        <w:rPr>
          <w:lang w:val="id-ID" w:eastAsia="id-ID"/>
        </w:rPr>
        <w:t xml:space="preserve"> </w:t>
      </w:r>
      <w:r w:rsidRPr="001130E4">
        <w:rPr>
          <w:lang w:eastAsia="id-ID"/>
        </w:rPr>
        <w:t>No. 10 tahun 1998</w:t>
      </w:r>
      <w:r w:rsidRPr="001130E4">
        <w:rPr>
          <w:lang w:val="id-ID" w:eastAsia="id-ID"/>
        </w:rPr>
        <w:t xml:space="preserve"> menyatakan sistem perbankan syariah dikembangkan dengan tujuan:</w:t>
      </w:r>
    </w:p>
    <w:p w:rsidR="005D4E81" w:rsidRPr="004679B7" w:rsidRDefault="005D4E81" w:rsidP="005D4E81">
      <w:pPr>
        <w:pStyle w:val="ListParagraph"/>
        <w:numPr>
          <w:ilvl w:val="0"/>
          <w:numId w:val="23"/>
        </w:numPr>
        <w:spacing w:line="360" w:lineRule="auto"/>
        <w:ind w:left="426" w:hanging="426"/>
        <w:jc w:val="both"/>
        <w:rPr>
          <w:color w:val="000000"/>
          <w:lang w:val="id-ID" w:eastAsia="id-ID"/>
        </w:rPr>
      </w:pPr>
      <w:r w:rsidRPr="001130E4">
        <w:rPr>
          <w:color w:val="000000"/>
          <w:lang w:val="id-ID" w:eastAsia="id-ID"/>
        </w:rPr>
        <w:t>Kebutuhan pelayanan perbankan untuk masyarakat serta</w:t>
      </w:r>
      <w:r>
        <w:rPr>
          <w:color w:val="000000"/>
          <w:lang w:val="id-ID" w:eastAsia="id-ID"/>
        </w:rPr>
        <w:t xml:space="preserve"> tidak menerapkan sistem bunga. A</w:t>
      </w:r>
      <w:r w:rsidRPr="004679B7">
        <w:rPr>
          <w:color w:val="000000"/>
          <w:lang w:val="id-ID" w:eastAsia="id-ID"/>
        </w:rPr>
        <w:t>danya perbankan syariah yang berjalan dengan bank konvensional berarti mobilitas terhadap dana masyarakat dapat dilakukan dengan lebih luas.</w:t>
      </w:r>
    </w:p>
    <w:p w:rsidR="005D4E81" w:rsidRPr="001130E4" w:rsidRDefault="005D4E81" w:rsidP="005D4E81">
      <w:pPr>
        <w:pStyle w:val="ListParagraph"/>
        <w:numPr>
          <w:ilvl w:val="0"/>
          <w:numId w:val="23"/>
        </w:numPr>
        <w:spacing w:line="360" w:lineRule="auto"/>
        <w:ind w:left="426" w:hanging="426"/>
        <w:jc w:val="both"/>
        <w:rPr>
          <w:color w:val="000000"/>
          <w:lang w:val="id-ID" w:eastAsia="id-ID"/>
        </w:rPr>
      </w:pPr>
      <w:r w:rsidRPr="001130E4">
        <w:rPr>
          <w:color w:val="000000"/>
          <w:lang w:val="id-ID" w:eastAsia="id-ID"/>
        </w:rPr>
        <w:t>Adanya prisip kemitraan sehingga membuka pengembangan usaha. Sistem yang berjalan pada bank syariah merupakan konsep hubungan investor yang harmonis (</w:t>
      </w:r>
      <w:r w:rsidRPr="001130E4">
        <w:rPr>
          <w:i/>
          <w:iCs/>
          <w:color w:val="000000"/>
          <w:lang w:val="id-ID" w:eastAsia="id-ID"/>
        </w:rPr>
        <w:t>mutual investor relationship</w:t>
      </w:r>
      <w:r w:rsidRPr="001130E4">
        <w:rPr>
          <w:color w:val="000000"/>
          <w:lang w:val="id-ID" w:eastAsia="id-ID"/>
        </w:rPr>
        <w:t>), sedangkan bank konvensional menerapkan konsep hubungan debitur dan kreditur (</w:t>
      </w:r>
      <w:r w:rsidRPr="001130E4">
        <w:rPr>
          <w:i/>
          <w:iCs/>
          <w:color w:val="000000"/>
          <w:lang w:val="id-ID" w:eastAsia="id-ID"/>
        </w:rPr>
        <w:t>debitor to creditor relationship</w:t>
      </w:r>
      <w:r w:rsidRPr="001130E4">
        <w:rPr>
          <w:color w:val="000000"/>
          <w:lang w:val="id-ID" w:eastAsia="id-ID"/>
        </w:rPr>
        <w:t>).</w:t>
      </w:r>
    </w:p>
    <w:p w:rsidR="005D4E81" w:rsidRDefault="005D4E81" w:rsidP="005D4E81">
      <w:pPr>
        <w:pStyle w:val="ListParagraph"/>
        <w:spacing w:line="360" w:lineRule="auto"/>
        <w:ind w:left="0" w:firstLine="720"/>
        <w:jc w:val="both"/>
        <w:rPr>
          <w:color w:val="000000"/>
          <w:lang w:val="id-ID"/>
        </w:rPr>
      </w:pPr>
      <w:r w:rsidRPr="001130E4">
        <w:rPr>
          <w:color w:val="000000"/>
          <w:lang w:val="id-ID" w:eastAsia="id-ID"/>
        </w:rPr>
        <w:t xml:space="preserve">Dengan berlakunya UU No. 10 tahun 1998 tentang perubahan UU No. 7 tahun 1992 tentang Perbankan makan dikeluarkannya beberapa ketentuan dalam pelaksanaan seperti SK Direksi BI dan Peraturan Bank Indonesia, </w:t>
      </w:r>
      <w:r w:rsidRPr="001130E4">
        <w:rPr>
          <w:color w:val="000000"/>
          <w:lang w:val="id-ID"/>
        </w:rPr>
        <w:t>adanya landasan hukum terhadap</w:t>
      </w:r>
      <w:r w:rsidRPr="001130E4">
        <w:rPr>
          <w:color w:val="000000"/>
        </w:rPr>
        <w:t xml:space="preserve"> pengembangan</w:t>
      </w:r>
      <w:r w:rsidRPr="001130E4">
        <w:rPr>
          <w:color w:val="000000"/>
          <w:lang w:val="id-ID"/>
        </w:rPr>
        <w:t xml:space="preserve"> </w:t>
      </w:r>
      <w:r w:rsidRPr="001130E4">
        <w:rPr>
          <w:color w:val="000000"/>
        </w:rPr>
        <w:t>perbankan syariah di Indonesia</w:t>
      </w:r>
      <w:r w:rsidRPr="001130E4">
        <w:rPr>
          <w:color w:val="000000"/>
          <w:lang w:val="id-ID"/>
        </w:rPr>
        <w:t xml:space="preserve"> berarti </w:t>
      </w:r>
      <w:r w:rsidRPr="001130E4">
        <w:rPr>
          <w:color w:val="000000"/>
        </w:rPr>
        <w:t>member</w:t>
      </w:r>
      <w:r w:rsidRPr="001130E4">
        <w:rPr>
          <w:color w:val="000000"/>
          <w:lang w:val="id-ID"/>
        </w:rPr>
        <w:t>i</w:t>
      </w:r>
      <w:r w:rsidRPr="001130E4">
        <w:rPr>
          <w:color w:val="000000"/>
        </w:rPr>
        <w:t xml:space="preserve"> kesempatan</w:t>
      </w:r>
      <w:r w:rsidRPr="001130E4">
        <w:rPr>
          <w:color w:val="000000"/>
          <w:lang w:val="id-ID"/>
        </w:rPr>
        <w:t xml:space="preserve"> terhadap perkembangan serta pertumbuhan</w:t>
      </w:r>
      <w:r w:rsidRPr="001130E4">
        <w:rPr>
          <w:color w:val="000000"/>
        </w:rPr>
        <w:t xml:space="preserve"> perbankan syariah</w:t>
      </w:r>
      <w:r w:rsidRPr="001130E4">
        <w:rPr>
          <w:color w:val="000000"/>
          <w:lang w:val="id-ID"/>
        </w:rPr>
        <w:t xml:space="preserve"> dengan medirikan izin mendirikan </w:t>
      </w:r>
      <w:r w:rsidRPr="001130E4">
        <w:rPr>
          <w:color w:val="000000"/>
        </w:rPr>
        <w:t>Kantor</w:t>
      </w:r>
      <w:r w:rsidRPr="001130E4">
        <w:rPr>
          <w:color w:val="000000"/>
          <w:lang w:val="id-ID"/>
        </w:rPr>
        <w:t xml:space="preserve"> </w:t>
      </w:r>
      <w:r w:rsidRPr="001130E4">
        <w:rPr>
          <w:color w:val="000000"/>
        </w:rPr>
        <w:t>Cabang Syariah (KCS) oleh bank</w:t>
      </w:r>
      <w:r w:rsidRPr="001130E4">
        <w:rPr>
          <w:color w:val="000000"/>
          <w:lang w:val="id-ID"/>
        </w:rPr>
        <w:t xml:space="preserve"> </w:t>
      </w:r>
      <w:r w:rsidRPr="001130E4">
        <w:rPr>
          <w:color w:val="000000"/>
        </w:rPr>
        <w:t>konvensional</w:t>
      </w:r>
      <w:r w:rsidRPr="001130E4">
        <w:rPr>
          <w:color w:val="000000"/>
          <w:lang w:val="id-ID"/>
        </w:rPr>
        <w:t xml:space="preserve">. </w:t>
      </w:r>
      <w:r w:rsidRPr="001130E4">
        <w:rPr>
          <w:color w:val="000000"/>
        </w:rPr>
        <w:t>Dengan kata lain,</w:t>
      </w:r>
      <w:r w:rsidRPr="001130E4">
        <w:rPr>
          <w:color w:val="000000"/>
          <w:lang w:val="id-ID"/>
        </w:rPr>
        <w:t xml:space="preserve"> </w:t>
      </w:r>
      <w:r w:rsidRPr="001130E4">
        <w:rPr>
          <w:color w:val="000000"/>
        </w:rPr>
        <w:t>bank umum dapat menjalankan dua</w:t>
      </w:r>
      <w:r w:rsidRPr="001130E4">
        <w:rPr>
          <w:color w:val="000000"/>
          <w:lang w:val="id-ID"/>
        </w:rPr>
        <w:t xml:space="preserve"> </w:t>
      </w:r>
      <w:r w:rsidRPr="001130E4">
        <w:rPr>
          <w:color w:val="000000"/>
        </w:rPr>
        <w:t>kegiatan usaha, baik secara</w:t>
      </w:r>
      <w:r w:rsidRPr="001130E4">
        <w:rPr>
          <w:color w:val="000000"/>
          <w:lang w:val="id-ID"/>
        </w:rPr>
        <w:t xml:space="preserve"> </w:t>
      </w:r>
      <w:r w:rsidRPr="001130E4">
        <w:rPr>
          <w:color w:val="000000"/>
        </w:rPr>
        <w:t>konvensional maupun berdasarkan</w:t>
      </w:r>
      <w:r w:rsidRPr="001130E4">
        <w:rPr>
          <w:color w:val="000000"/>
          <w:lang w:val="id-ID"/>
        </w:rPr>
        <w:t xml:space="preserve"> </w:t>
      </w:r>
      <w:r>
        <w:rPr>
          <w:color w:val="000000"/>
        </w:rPr>
        <w:t>prinsip syariah</w:t>
      </w:r>
      <w:r>
        <w:rPr>
          <w:color w:val="000000"/>
          <w:lang w:val="id-ID"/>
        </w:rPr>
        <w:t xml:space="preserve"> </w:t>
      </w:r>
      <w:r>
        <w:rPr>
          <w:color w:val="000000"/>
        </w:rPr>
        <w:fldChar w:fldCharType="begin" w:fldLock="1"/>
      </w:r>
      <w:r w:rsidR="00AD31BA">
        <w:rPr>
          <w:color w:val="000000"/>
        </w:rPr>
        <w:instrText>ADDIN CSL_CITATION { "citationItems" : [ { "id" : "ITEM-1", "itemData" : { "abstract" : "Sharia banking in Indonesia has approached 24 years of age. This age implies that it such sharia banking has shifted to maturity phase. It has developed significantly compared to that of previous years. It can be observed from its average growth of its assets, DPK, PYD which is 45% higher than the years of 2000 up to 2014. However, it is expected that it must able to make use of opportunities which are presently available to encounter challenges in the future, Consequently, it should be able to take advantage of supports and contributions of other such related parties as government, ulama, society, academicians, and students majoring in sharia banking as well.", "author" : [ { "dropping-particle" : "", "family" : "Nofinawati", "given" : "", "non-dropping-particle" : "", "parse-names" : false, "suffix" : "" } ], "container-title" : "Jurnal JURIS", "id" : "ITEM-1", "issue" : "2", "issued" : { "date-parts" : [ [ "2015" ] ] }, "page" : "168-183", "title" : "Perkembangan perbankan syariah di indonesia", "type" : "article-journal", "volume" : "14" }, "uris" : [ "http://www.mendeley.com/documents/?uuid=425fc8f5-5746-40d1-9035-a778b00e69a4" ] } ], "mendeley" : { "formattedCitation" : "(Nofinawati 2015)", "manualFormatting" : "(Nofinawati, 2015)", "plainTextFormattedCitation" : "(Nofinawati 2015)", "previouslyFormattedCitation" : "(Nofinawati 2015)" }, "properties" : { "noteIndex" : 0 }, "schema" : "https://github.com/citation-style-language/schema/raw/master/csl-citation.json" }</w:instrText>
      </w:r>
      <w:r>
        <w:rPr>
          <w:color w:val="000000"/>
        </w:rPr>
        <w:fldChar w:fldCharType="separate"/>
      </w:r>
      <w:r w:rsidRPr="005D4E81">
        <w:rPr>
          <w:noProof/>
          <w:color w:val="000000"/>
        </w:rPr>
        <w:t>(Nofinawati</w:t>
      </w:r>
      <w:r>
        <w:rPr>
          <w:noProof/>
          <w:color w:val="000000"/>
          <w:lang w:val="id-ID"/>
        </w:rPr>
        <w:t>, 2015</w:t>
      </w:r>
      <w:r w:rsidRPr="005D4E81">
        <w:rPr>
          <w:noProof/>
          <w:color w:val="000000"/>
        </w:rPr>
        <w:t>)</w:t>
      </w:r>
      <w:r>
        <w:rPr>
          <w:color w:val="000000"/>
        </w:rPr>
        <w:fldChar w:fldCharType="end"/>
      </w:r>
      <w:r>
        <w:rPr>
          <w:color w:val="000000"/>
          <w:lang w:val="id-ID"/>
        </w:rPr>
        <w:t>.</w:t>
      </w:r>
    </w:p>
    <w:p w:rsidR="005F242B" w:rsidRPr="001130E4" w:rsidRDefault="005F242B" w:rsidP="005F242B">
      <w:pPr>
        <w:pStyle w:val="ListParagraph"/>
        <w:spacing w:line="360" w:lineRule="auto"/>
        <w:ind w:left="0" w:firstLine="720"/>
        <w:jc w:val="both"/>
        <w:rPr>
          <w:color w:val="000000"/>
          <w:lang w:val="id-ID"/>
        </w:rPr>
      </w:pPr>
      <w:r>
        <w:rPr>
          <w:color w:val="000000"/>
        </w:rPr>
        <w:t>Pada tanggal</w:t>
      </w:r>
      <w:r>
        <w:rPr>
          <w:color w:val="000000"/>
          <w:lang w:val="id-ID"/>
        </w:rPr>
        <w:t xml:space="preserve"> </w:t>
      </w:r>
      <w:r>
        <w:rPr>
          <w:color w:val="000000"/>
        </w:rPr>
        <w:t>16</w:t>
      </w:r>
      <w:r>
        <w:rPr>
          <w:color w:val="000000"/>
          <w:lang w:val="id-ID"/>
        </w:rPr>
        <w:t xml:space="preserve"> </w:t>
      </w:r>
      <w:r w:rsidRPr="001130E4">
        <w:rPr>
          <w:color w:val="000000"/>
        </w:rPr>
        <w:t xml:space="preserve">Juli 2008, </w:t>
      </w:r>
      <w:r w:rsidRPr="009D3BFD">
        <w:rPr>
          <w:color w:val="000000"/>
        </w:rPr>
        <w:t>UU</w:t>
      </w:r>
      <w:r w:rsidRPr="009D3BFD">
        <w:rPr>
          <w:color w:val="000000"/>
          <w:lang w:val="id-ID"/>
        </w:rPr>
        <w:t xml:space="preserve"> </w:t>
      </w:r>
      <w:r w:rsidRPr="009D3BFD">
        <w:rPr>
          <w:color w:val="000000"/>
        </w:rPr>
        <w:t>No. 21 Tahun 2008</w:t>
      </w:r>
      <w:r w:rsidRPr="001130E4">
        <w:rPr>
          <w:color w:val="000000"/>
        </w:rPr>
        <w:t xml:space="preserve"> tentang</w:t>
      </w:r>
      <w:r w:rsidRPr="001130E4">
        <w:rPr>
          <w:color w:val="000000"/>
          <w:lang w:val="id-ID"/>
        </w:rPr>
        <w:t xml:space="preserve"> </w:t>
      </w:r>
      <w:r w:rsidRPr="001130E4">
        <w:rPr>
          <w:color w:val="000000"/>
        </w:rPr>
        <w:t xml:space="preserve">Perbankan Syariah disahkan </w:t>
      </w:r>
      <w:r w:rsidRPr="001130E4">
        <w:rPr>
          <w:color w:val="000000"/>
          <w:lang w:val="id-ID"/>
        </w:rPr>
        <w:t>sehingga</w:t>
      </w:r>
      <w:r w:rsidRPr="001130E4">
        <w:rPr>
          <w:color w:val="000000"/>
        </w:rPr>
        <w:t xml:space="preserve"> </w:t>
      </w:r>
      <w:r w:rsidRPr="001130E4">
        <w:rPr>
          <w:color w:val="000000"/>
          <w:lang w:val="id-ID"/>
        </w:rPr>
        <w:t>menghasilkan landasan hukum perbankan syariah sehingga mendorong pertumbuhan dan perkembangan bank syariah selama 5 tahun terakhir dimana asetnya tumbuh lebih dari 5 % per tahunnya namun s</w:t>
      </w:r>
      <w:r>
        <w:rPr>
          <w:color w:val="000000"/>
          <w:lang w:val="id-ID"/>
        </w:rPr>
        <w:t>ecara nasional masih dibawah 5%.</w:t>
      </w:r>
    </w:p>
    <w:p w:rsidR="005F242B" w:rsidRPr="001130E4" w:rsidRDefault="005F242B" w:rsidP="005F242B">
      <w:pPr>
        <w:pStyle w:val="ListParagraph"/>
        <w:spacing w:line="360" w:lineRule="auto"/>
        <w:ind w:left="0" w:firstLine="720"/>
        <w:jc w:val="both"/>
        <w:rPr>
          <w:color w:val="000000"/>
          <w:lang w:val="id-ID"/>
        </w:rPr>
      </w:pPr>
      <w:r w:rsidRPr="001130E4">
        <w:rPr>
          <w:color w:val="000000"/>
          <w:lang w:val="id-ID"/>
        </w:rPr>
        <w:t xml:space="preserve">Dalam </w:t>
      </w:r>
      <w:r w:rsidRPr="001130E4">
        <w:rPr>
          <w:color w:val="000000"/>
        </w:rPr>
        <w:t>UU</w:t>
      </w:r>
      <w:r w:rsidRPr="001130E4">
        <w:rPr>
          <w:color w:val="000000"/>
          <w:lang w:val="id-ID"/>
        </w:rPr>
        <w:t xml:space="preserve"> </w:t>
      </w:r>
      <w:r w:rsidRPr="001130E4">
        <w:rPr>
          <w:color w:val="000000"/>
        </w:rPr>
        <w:t xml:space="preserve">No. </w:t>
      </w:r>
      <w:proofErr w:type="gramStart"/>
      <w:r w:rsidRPr="001130E4">
        <w:rPr>
          <w:color w:val="000000"/>
        </w:rPr>
        <w:t>21 Tahun 2008 tentang</w:t>
      </w:r>
      <w:r w:rsidRPr="001130E4">
        <w:rPr>
          <w:color w:val="000000"/>
          <w:lang w:val="id-ID"/>
        </w:rPr>
        <w:t xml:space="preserve"> </w:t>
      </w:r>
      <w:r w:rsidRPr="001130E4">
        <w:rPr>
          <w:color w:val="000000"/>
        </w:rPr>
        <w:t>Perbankan Syariah mengatur secara</w:t>
      </w:r>
      <w:r w:rsidRPr="001130E4">
        <w:rPr>
          <w:color w:val="000000"/>
          <w:lang w:val="id-ID"/>
        </w:rPr>
        <w:t xml:space="preserve"> </w:t>
      </w:r>
      <w:r w:rsidRPr="001130E4">
        <w:rPr>
          <w:color w:val="000000"/>
        </w:rPr>
        <w:t>khusus mengenai perbankan</w:t>
      </w:r>
      <w:r w:rsidRPr="001130E4">
        <w:rPr>
          <w:color w:val="000000"/>
          <w:lang w:val="id-ID"/>
        </w:rPr>
        <w:t xml:space="preserve"> </w:t>
      </w:r>
      <w:r w:rsidRPr="001130E4">
        <w:rPr>
          <w:color w:val="000000"/>
        </w:rPr>
        <w:t xml:space="preserve">syariah, baik </w:t>
      </w:r>
      <w:r w:rsidRPr="001130E4">
        <w:rPr>
          <w:color w:val="000000"/>
          <w:lang w:val="id-ID"/>
        </w:rPr>
        <w:t>dari sisi</w:t>
      </w:r>
      <w:r w:rsidRPr="001130E4">
        <w:rPr>
          <w:color w:val="000000"/>
        </w:rPr>
        <w:t xml:space="preserve"> kelembagaan</w:t>
      </w:r>
      <w:r w:rsidRPr="001130E4">
        <w:rPr>
          <w:color w:val="000000"/>
          <w:lang w:val="id-ID"/>
        </w:rPr>
        <w:t xml:space="preserve"> </w:t>
      </w:r>
      <w:r w:rsidRPr="001130E4">
        <w:rPr>
          <w:color w:val="000000"/>
        </w:rPr>
        <w:t xml:space="preserve">maupun </w:t>
      </w:r>
      <w:r w:rsidRPr="001130E4">
        <w:rPr>
          <w:color w:val="000000"/>
          <w:lang w:val="id-ID"/>
        </w:rPr>
        <w:t xml:space="preserve">dari aspek </w:t>
      </w:r>
      <w:r w:rsidRPr="001130E4">
        <w:rPr>
          <w:color w:val="000000"/>
        </w:rPr>
        <w:t>kegiatan usaha.</w:t>
      </w:r>
      <w:proofErr w:type="gramEnd"/>
      <w:r w:rsidRPr="001130E4">
        <w:rPr>
          <w:color w:val="000000"/>
        </w:rPr>
        <w:t xml:space="preserve"> </w:t>
      </w:r>
      <w:r w:rsidRPr="001130E4">
        <w:rPr>
          <w:color w:val="000000"/>
          <w:lang w:val="id-ID"/>
        </w:rPr>
        <w:t>Ada b</w:t>
      </w:r>
      <w:r w:rsidRPr="001130E4">
        <w:rPr>
          <w:color w:val="000000"/>
        </w:rPr>
        <w:t>eberapa</w:t>
      </w:r>
      <w:r w:rsidRPr="001130E4">
        <w:rPr>
          <w:color w:val="000000"/>
          <w:lang w:val="id-ID"/>
        </w:rPr>
        <w:t xml:space="preserve"> </w:t>
      </w:r>
      <w:r w:rsidRPr="001130E4">
        <w:rPr>
          <w:color w:val="000000"/>
        </w:rPr>
        <w:t xml:space="preserve">lembaga hukum </w:t>
      </w:r>
      <w:r w:rsidRPr="001130E4">
        <w:rPr>
          <w:color w:val="000000"/>
          <w:lang w:val="id-ID"/>
        </w:rPr>
        <w:t xml:space="preserve">yang </w:t>
      </w:r>
      <w:r w:rsidRPr="001130E4">
        <w:rPr>
          <w:color w:val="000000"/>
        </w:rPr>
        <w:t>baru dalam UU No. 21 Tahun 2008, antara</w:t>
      </w:r>
      <w:r w:rsidRPr="001130E4">
        <w:rPr>
          <w:color w:val="000000"/>
          <w:lang w:val="id-ID"/>
        </w:rPr>
        <w:t xml:space="preserve"> </w:t>
      </w:r>
      <w:r w:rsidRPr="001130E4">
        <w:rPr>
          <w:color w:val="000000"/>
        </w:rPr>
        <w:t>lain yakni menyangkut pemisahan</w:t>
      </w:r>
      <w:r w:rsidRPr="001130E4">
        <w:rPr>
          <w:color w:val="000000"/>
          <w:lang w:val="id-ID"/>
        </w:rPr>
        <w:t xml:space="preserve"> </w:t>
      </w:r>
      <w:r w:rsidRPr="001130E4">
        <w:rPr>
          <w:color w:val="000000"/>
        </w:rPr>
        <w:t>(</w:t>
      </w:r>
      <w:r w:rsidRPr="001130E4">
        <w:rPr>
          <w:i/>
          <w:iCs/>
          <w:color w:val="000000"/>
        </w:rPr>
        <w:t>spin-off</w:t>
      </w:r>
      <w:r w:rsidRPr="001130E4">
        <w:rPr>
          <w:color w:val="000000"/>
        </w:rPr>
        <w:t>) UUS secara sukarela</w:t>
      </w:r>
      <w:r w:rsidRPr="001130E4">
        <w:rPr>
          <w:color w:val="000000"/>
          <w:lang w:val="id-ID"/>
        </w:rPr>
        <w:t xml:space="preserve"> atau</w:t>
      </w:r>
      <w:r w:rsidRPr="001130E4">
        <w:rPr>
          <w:color w:val="000000"/>
        </w:rPr>
        <w:t xml:space="preserve"> wajib dan Komite Perbankan Syariah.</w:t>
      </w:r>
      <w:r w:rsidRPr="001130E4">
        <w:rPr>
          <w:color w:val="000000"/>
          <w:lang w:val="id-ID"/>
        </w:rPr>
        <w:t xml:space="preserve"> Terdapat juga</w:t>
      </w:r>
      <w:r w:rsidRPr="001130E4">
        <w:rPr>
          <w:color w:val="000000"/>
        </w:rPr>
        <w:t xml:space="preserve"> beberapa</w:t>
      </w:r>
      <w:r w:rsidRPr="001130E4">
        <w:rPr>
          <w:color w:val="000000"/>
          <w:lang w:val="id-ID"/>
        </w:rPr>
        <w:t xml:space="preserve"> </w:t>
      </w:r>
      <w:r w:rsidRPr="001130E4">
        <w:rPr>
          <w:color w:val="000000"/>
        </w:rPr>
        <w:t>PBI</w:t>
      </w:r>
      <w:r w:rsidRPr="001130E4">
        <w:rPr>
          <w:color w:val="000000"/>
          <w:lang w:val="id-ID"/>
        </w:rPr>
        <w:t xml:space="preserve"> </w:t>
      </w:r>
      <w:r w:rsidRPr="001130E4">
        <w:rPr>
          <w:color w:val="000000"/>
        </w:rPr>
        <w:t>yang diamanahkan oleh UU No.</w:t>
      </w:r>
      <w:r w:rsidRPr="001130E4">
        <w:rPr>
          <w:color w:val="000000"/>
          <w:lang w:val="id-ID"/>
        </w:rPr>
        <w:t xml:space="preserve"> </w:t>
      </w:r>
      <w:proofErr w:type="gramStart"/>
      <w:r w:rsidRPr="001130E4">
        <w:rPr>
          <w:color w:val="000000"/>
        </w:rPr>
        <w:t>21 tahun 2008.</w:t>
      </w:r>
      <w:proofErr w:type="gramEnd"/>
      <w:r w:rsidRPr="001130E4">
        <w:rPr>
          <w:color w:val="000000"/>
        </w:rPr>
        <w:t xml:space="preserve"> Adapun PBI yang secara</w:t>
      </w:r>
      <w:r w:rsidRPr="001130E4">
        <w:rPr>
          <w:color w:val="000000"/>
          <w:lang w:val="id-ID"/>
        </w:rPr>
        <w:t xml:space="preserve"> </w:t>
      </w:r>
      <w:r w:rsidRPr="001130E4">
        <w:rPr>
          <w:color w:val="000000"/>
        </w:rPr>
        <w:t>khusus merupakan peraturan</w:t>
      </w:r>
      <w:r w:rsidRPr="001130E4">
        <w:rPr>
          <w:color w:val="000000"/>
          <w:lang w:val="id-ID"/>
        </w:rPr>
        <w:t xml:space="preserve"> </w:t>
      </w:r>
      <w:r w:rsidRPr="001130E4">
        <w:rPr>
          <w:color w:val="000000"/>
        </w:rPr>
        <w:t>pelaksana dari Undang-Undang</w:t>
      </w:r>
      <w:r w:rsidRPr="001130E4">
        <w:rPr>
          <w:color w:val="000000"/>
          <w:lang w:val="id-ID"/>
        </w:rPr>
        <w:t xml:space="preserve"> </w:t>
      </w:r>
      <w:r w:rsidRPr="001130E4">
        <w:rPr>
          <w:color w:val="000000"/>
        </w:rPr>
        <w:t>Nomor 21 Tahun 2008 tentang</w:t>
      </w:r>
      <w:r w:rsidRPr="001130E4">
        <w:rPr>
          <w:color w:val="000000"/>
          <w:lang w:val="id-ID"/>
        </w:rPr>
        <w:t xml:space="preserve"> </w:t>
      </w:r>
      <w:r w:rsidRPr="001130E4">
        <w:rPr>
          <w:color w:val="000000"/>
        </w:rPr>
        <w:t>Perbankan Syariah</w:t>
      </w:r>
      <w:r w:rsidRPr="001130E4">
        <w:rPr>
          <w:color w:val="000000"/>
          <w:lang w:val="id-ID"/>
        </w:rPr>
        <w:t xml:space="preserve">, </w:t>
      </w:r>
      <w:r w:rsidRPr="001130E4">
        <w:rPr>
          <w:color w:val="000000"/>
        </w:rPr>
        <w:t>ini antara</w:t>
      </w:r>
      <w:r w:rsidRPr="001130E4">
        <w:rPr>
          <w:color w:val="000000"/>
          <w:lang w:val="id-ID"/>
        </w:rPr>
        <w:t xml:space="preserve"> </w:t>
      </w:r>
      <w:r w:rsidRPr="001130E4">
        <w:rPr>
          <w:color w:val="000000"/>
        </w:rPr>
        <w:t>lain:</w:t>
      </w:r>
      <w:r w:rsidRPr="001130E4">
        <w:rPr>
          <w:color w:val="000000"/>
          <w:lang w:val="id-ID"/>
        </w:rPr>
        <w:t xml:space="preserve"> </w:t>
      </w:r>
    </w:p>
    <w:tbl>
      <w:tblPr>
        <w:tblW w:w="8789" w:type="dxa"/>
        <w:tblInd w:w="108" w:type="dxa"/>
        <w:tblLook w:val="04A0" w:firstRow="1" w:lastRow="0" w:firstColumn="1" w:lastColumn="0" w:noHBand="0" w:noVBand="1"/>
      </w:tblPr>
      <w:tblGrid>
        <w:gridCol w:w="426"/>
        <w:gridCol w:w="2693"/>
        <w:gridCol w:w="923"/>
        <w:gridCol w:w="4747"/>
      </w:tblGrid>
      <w:tr w:rsidR="005F242B" w:rsidRPr="00872F7B" w:rsidTr="005F242B">
        <w:tc>
          <w:tcPr>
            <w:tcW w:w="426" w:type="dxa"/>
            <w:shd w:val="clear" w:color="auto" w:fill="auto"/>
          </w:tcPr>
          <w:p w:rsidR="005F242B" w:rsidRPr="00872F7B" w:rsidRDefault="005F242B" w:rsidP="005F242B">
            <w:pPr>
              <w:pStyle w:val="ListParagraph"/>
              <w:spacing w:line="360" w:lineRule="auto"/>
              <w:ind w:left="0"/>
              <w:jc w:val="center"/>
              <w:rPr>
                <w:color w:val="000000"/>
                <w:lang w:val="id-ID"/>
              </w:rPr>
            </w:pPr>
            <w:r w:rsidRPr="00872F7B">
              <w:rPr>
                <w:color w:val="000000"/>
                <w:lang w:val="id-ID"/>
              </w:rPr>
              <w:t>1.</w:t>
            </w:r>
          </w:p>
        </w:tc>
        <w:tc>
          <w:tcPr>
            <w:tcW w:w="2693" w:type="dxa"/>
            <w:shd w:val="clear" w:color="auto" w:fill="auto"/>
          </w:tcPr>
          <w:p w:rsidR="005F242B" w:rsidRPr="00872F7B" w:rsidRDefault="005F242B" w:rsidP="005F242B">
            <w:pPr>
              <w:pStyle w:val="ListParagraph"/>
              <w:spacing w:line="360" w:lineRule="auto"/>
              <w:ind w:left="0"/>
              <w:jc w:val="both"/>
              <w:rPr>
                <w:color w:val="000000"/>
                <w:lang w:val="id-ID"/>
              </w:rPr>
            </w:pPr>
            <w:r w:rsidRPr="00872F7B">
              <w:rPr>
                <w:color w:val="000000"/>
              </w:rPr>
              <w:t>PBI No.10/16/PBI/2008</w:t>
            </w:r>
          </w:p>
        </w:tc>
        <w:tc>
          <w:tcPr>
            <w:tcW w:w="923" w:type="dxa"/>
            <w:shd w:val="clear" w:color="auto" w:fill="auto"/>
          </w:tcPr>
          <w:p w:rsidR="005F242B" w:rsidRPr="00872F7B" w:rsidRDefault="005F242B" w:rsidP="005F242B">
            <w:pPr>
              <w:spacing w:line="360" w:lineRule="auto"/>
            </w:pPr>
            <w:r w:rsidRPr="00872F7B">
              <w:rPr>
                <w:color w:val="000000"/>
              </w:rPr>
              <w:t>tentang</w:t>
            </w:r>
          </w:p>
        </w:tc>
        <w:tc>
          <w:tcPr>
            <w:tcW w:w="4747" w:type="dxa"/>
            <w:shd w:val="clear" w:color="auto" w:fill="auto"/>
          </w:tcPr>
          <w:p w:rsidR="005F242B" w:rsidRPr="00872F7B" w:rsidRDefault="005F242B" w:rsidP="005F242B">
            <w:pPr>
              <w:spacing w:line="360" w:lineRule="auto"/>
              <w:jc w:val="both"/>
              <w:rPr>
                <w:color w:val="000000"/>
              </w:rPr>
            </w:pPr>
            <w:r w:rsidRPr="00872F7B">
              <w:rPr>
                <w:color w:val="000000"/>
              </w:rPr>
              <w:t xml:space="preserve">Perubahan Atas PBI No. 9/19/PBI/2007 tentang Pelaksanaan Prinsip Syariah dalam Kegiatan Penghimpunan Dana dan Penyaluran </w:t>
            </w:r>
            <w:r w:rsidRPr="00872F7B">
              <w:rPr>
                <w:color w:val="000000"/>
              </w:rPr>
              <w:lastRenderedPageBreak/>
              <w:t xml:space="preserve">Dana serta Pelayanan Jasa Bank Syariah. </w:t>
            </w:r>
          </w:p>
        </w:tc>
      </w:tr>
      <w:tr w:rsidR="005F242B" w:rsidRPr="00872F7B" w:rsidTr="005F242B">
        <w:tc>
          <w:tcPr>
            <w:tcW w:w="426" w:type="dxa"/>
            <w:shd w:val="clear" w:color="auto" w:fill="auto"/>
          </w:tcPr>
          <w:p w:rsidR="005F242B" w:rsidRPr="00872F7B" w:rsidRDefault="005F242B" w:rsidP="005F242B">
            <w:pPr>
              <w:pStyle w:val="ListParagraph"/>
              <w:spacing w:line="360" w:lineRule="auto"/>
              <w:ind w:left="0"/>
              <w:jc w:val="center"/>
              <w:rPr>
                <w:color w:val="000000"/>
                <w:lang w:val="id-ID"/>
              </w:rPr>
            </w:pPr>
            <w:r w:rsidRPr="00872F7B">
              <w:rPr>
                <w:color w:val="000000"/>
                <w:lang w:val="id-ID"/>
              </w:rPr>
              <w:lastRenderedPageBreak/>
              <w:t>2.</w:t>
            </w:r>
          </w:p>
        </w:tc>
        <w:tc>
          <w:tcPr>
            <w:tcW w:w="2693" w:type="dxa"/>
            <w:shd w:val="clear" w:color="auto" w:fill="auto"/>
          </w:tcPr>
          <w:p w:rsidR="005F242B" w:rsidRPr="00872F7B" w:rsidRDefault="005F242B" w:rsidP="005F242B">
            <w:pPr>
              <w:pStyle w:val="ListParagraph"/>
              <w:spacing w:line="360" w:lineRule="auto"/>
              <w:ind w:left="0"/>
              <w:jc w:val="both"/>
              <w:rPr>
                <w:color w:val="000000"/>
                <w:lang w:val="id-ID"/>
              </w:rPr>
            </w:pPr>
            <w:r w:rsidRPr="00872F7B">
              <w:rPr>
                <w:color w:val="000000"/>
              </w:rPr>
              <w:t>PBI No.10/17/PBI/2008</w:t>
            </w:r>
          </w:p>
        </w:tc>
        <w:tc>
          <w:tcPr>
            <w:tcW w:w="923" w:type="dxa"/>
            <w:shd w:val="clear" w:color="auto" w:fill="auto"/>
          </w:tcPr>
          <w:p w:rsidR="005F242B" w:rsidRPr="00872F7B" w:rsidRDefault="005F242B" w:rsidP="005F242B">
            <w:pPr>
              <w:spacing w:line="360" w:lineRule="auto"/>
            </w:pPr>
            <w:r w:rsidRPr="00872F7B">
              <w:rPr>
                <w:color w:val="000000"/>
              </w:rPr>
              <w:t>tentang</w:t>
            </w:r>
          </w:p>
        </w:tc>
        <w:tc>
          <w:tcPr>
            <w:tcW w:w="4747" w:type="dxa"/>
            <w:shd w:val="clear" w:color="auto" w:fill="auto"/>
          </w:tcPr>
          <w:p w:rsidR="005F242B" w:rsidRPr="00872F7B" w:rsidRDefault="005F242B" w:rsidP="005F242B">
            <w:pPr>
              <w:pStyle w:val="ListParagraph"/>
              <w:spacing w:line="360" w:lineRule="auto"/>
              <w:ind w:left="0"/>
              <w:jc w:val="both"/>
              <w:rPr>
                <w:color w:val="000000"/>
                <w:lang w:val="id-ID"/>
              </w:rPr>
            </w:pPr>
            <w:r w:rsidRPr="00872F7B">
              <w:rPr>
                <w:color w:val="000000"/>
              </w:rPr>
              <w:t>Produk Bank Syariah dan Unit</w:t>
            </w:r>
            <w:r w:rsidRPr="00872F7B">
              <w:rPr>
                <w:color w:val="000000"/>
                <w:lang w:val="id-ID"/>
              </w:rPr>
              <w:t xml:space="preserve"> </w:t>
            </w:r>
            <w:r w:rsidRPr="00872F7B">
              <w:rPr>
                <w:color w:val="000000"/>
              </w:rPr>
              <w:t>Usaha</w:t>
            </w:r>
            <w:r w:rsidRPr="00872F7B">
              <w:rPr>
                <w:color w:val="000000"/>
                <w:lang w:val="id-ID"/>
              </w:rPr>
              <w:t xml:space="preserve"> </w:t>
            </w:r>
            <w:r w:rsidRPr="00872F7B">
              <w:rPr>
                <w:color w:val="000000"/>
              </w:rPr>
              <w:t>Syariah.</w:t>
            </w:r>
          </w:p>
        </w:tc>
      </w:tr>
      <w:tr w:rsidR="005F242B" w:rsidRPr="00872F7B" w:rsidTr="005F242B">
        <w:tc>
          <w:tcPr>
            <w:tcW w:w="426" w:type="dxa"/>
            <w:shd w:val="clear" w:color="auto" w:fill="auto"/>
          </w:tcPr>
          <w:p w:rsidR="005F242B" w:rsidRPr="00872F7B" w:rsidRDefault="005F242B" w:rsidP="005F242B">
            <w:pPr>
              <w:pStyle w:val="ListParagraph"/>
              <w:spacing w:line="360" w:lineRule="auto"/>
              <w:ind w:left="0"/>
              <w:jc w:val="center"/>
              <w:rPr>
                <w:color w:val="000000"/>
                <w:lang w:val="id-ID"/>
              </w:rPr>
            </w:pPr>
            <w:r w:rsidRPr="00872F7B">
              <w:rPr>
                <w:color w:val="000000"/>
                <w:lang w:val="id-ID"/>
              </w:rPr>
              <w:t>3.</w:t>
            </w:r>
          </w:p>
        </w:tc>
        <w:tc>
          <w:tcPr>
            <w:tcW w:w="2693" w:type="dxa"/>
            <w:shd w:val="clear" w:color="auto" w:fill="auto"/>
          </w:tcPr>
          <w:p w:rsidR="005F242B" w:rsidRPr="00872F7B" w:rsidRDefault="005F242B" w:rsidP="005F242B">
            <w:pPr>
              <w:pStyle w:val="ListParagraph"/>
              <w:spacing w:line="360" w:lineRule="auto"/>
              <w:ind w:left="0"/>
              <w:jc w:val="both"/>
              <w:rPr>
                <w:color w:val="000000"/>
                <w:lang w:val="id-ID"/>
              </w:rPr>
            </w:pPr>
            <w:r w:rsidRPr="00872F7B">
              <w:rPr>
                <w:color w:val="000000"/>
              </w:rPr>
              <w:t>PBI No.10/18/PBI/2008</w:t>
            </w:r>
          </w:p>
        </w:tc>
        <w:tc>
          <w:tcPr>
            <w:tcW w:w="923" w:type="dxa"/>
            <w:shd w:val="clear" w:color="auto" w:fill="auto"/>
          </w:tcPr>
          <w:p w:rsidR="005F242B" w:rsidRPr="00872F7B" w:rsidRDefault="005F242B" w:rsidP="005F242B">
            <w:pPr>
              <w:spacing w:line="360" w:lineRule="auto"/>
            </w:pPr>
            <w:r w:rsidRPr="00872F7B">
              <w:rPr>
                <w:color w:val="000000"/>
              </w:rPr>
              <w:t>tentang</w:t>
            </w:r>
          </w:p>
        </w:tc>
        <w:tc>
          <w:tcPr>
            <w:tcW w:w="4747" w:type="dxa"/>
            <w:shd w:val="clear" w:color="auto" w:fill="auto"/>
          </w:tcPr>
          <w:p w:rsidR="005F242B" w:rsidRPr="00872F7B" w:rsidRDefault="005F242B" w:rsidP="005F242B">
            <w:pPr>
              <w:pStyle w:val="ListParagraph"/>
              <w:spacing w:line="360" w:lineRule="auto"/>
              <w:ind w:left="0"/>
              <w:jc w:val="both"/>
              <w:rPr>
                <w:color w:val="000000"/>
                <w:lang w:val="id-ID"/>
              </w:rPr>
            </w:pPr>
            <w:r w:rsidRPr="00872F7B">
              <w:rPr>
                <w:color w:val="000000"/>
              </w:rPr>
              <w:t>Restrukturisasi Pembiayaan Bank</w:t>
            </w:r>
            <w:r w:rsidRPr="00872F7B">
              <w:rPr>
                <w:color w:val="000000"/>
                <w:lang w:val="id-ID"/>
              </w:rPr>
              <w:t xml:space="preserve"> </w:t>
            </w:r>
            <w:r w:rsidRPr="00872F7B">
              <w:rPr>
                <w:color w:val="000000"/>
              </w:rPr>
              <w:t>Syariah.</w:t>
            </w:r>
          </w:p>
        </w:tc>
      </w:tr>
      <w:tr w:rsidR="005F242B" w:rsidRPr="00872F7B" w:rsidTr="005F242B">
        <w:tc>
          <w:tcPr>
            <w:tcW w:w="426" w:type="dxa"/>
            <w:shd w:val="clear" w:color="auto" w:fill="auto"/>
          </w:tcPr>
          <w:p w:rsidR="005F242B" w:rsidRPr="00872F7B" w:rsidRDefault="005F242B" w:rsidP="005F242B">
            <w:pPr>
              <w:pStyle w:val="ListParagraph"/>
              <w:spacing w:line="360" w:lineRule="auto"/>
              <w:ind w:left="0"/>
              <w:jc w:val="center"/>
              <w:rPr>
                <w:color w:val="000000"/>
                <w:lang w:val="id-ID"/>
              </w:rPr>
            </w:pPr>
            <w:r w:rsidRPr="00872F7B">
              <w:rPr>
                <w:color w:val="000000"/>
                <w:lang w:val="id-ID"/>
              </w:rPr>
              <w:t>4.</w:t>
            </w:r>
          </w:p>
        </w:tc>
        <w:tc>
          <w:tcPr>
            <w:tcW w:w="2693" w:type="dxa"/>
            <w:shd w:val="clear" w:color="auto" w:fill="auto"/>
          </w:tcPr>
          <w:p w:rsidR="005F242B" w:rsidRPr="00872F7B" w:rsidRDefault="005F242B" w:rsidP="005F242B">
            <w:pPr>
              <w:pStyle w:val="ListParagraph"/>
              <w:spacing w:line="360" w:lineRule="auto"/>
              <w:ind w:left="0"/>
              <w:jc w:val="both"/>
              <w:rPr>
                <w:color w:val="000000"/>
                <w:lang w:val="id-ID"/>
              </w:rPr>
            </w:pPr>
            <w:r w:rsidRPr="00872F7B">
              <w:rPr>
                <w:color w:val="000000"/>
              </w:rPr>
              <w:t>PBI No.l0/23/PBI/2008</w:t>
            </w:r>
          </w:p>
        </w:tc>
        <w:tc>
          <w:tcPr>
            <w:tcW w:w="923" w:type="dxa"/>
            <w:shd w:val="clear" w:color="auto" w:fill="auto"/>
          </w:tcPr>
          <w:p w:rsidR="005F242B" w:rsidRPr="00872F7B" w:rsidRDefault="005F242B" w:rsidP="005F242B">
            <w:pPr>
              <w:spacing w:line="360" w:lineRule="auto"/>
            </w:pPr>
            <w:r w:rsidRPr="00872F7B">
              <w:rPr>
                <w:color w:val="000000"/>
              </w:rPr>
              <w:t>tentang</w:t>
            </w:r>
          </w:p>
        </w:tc>
        <w:tc>
          <w:tcPr>
            <w:tcW w:w="4747" w:type="dxa"/>
            <w:shd w:val="clear" w:color="auto" w:fill="auto"/>
          </w:tcPr>
          <w:p w:rsidR="005F242B" w:rsidRPr="00872F7B" w:rsidRDefault="005F242B" w:rsidP="005F242B">
            <w:pPr>
              <w:spacing w:line="360" w:lineRule="auto"/>
              <w:jc w:val="both"/>
              <w:rPr>
                <w:color w:val="000000"/>
              </w:rPr>
            </w:pPr>
            <w:r w:rsidRPr="00872F7B">
              <w:rPr>
                <w:color w:val="000000"/>
              </w:rPr>
              <w:t>Perubahan Kedua Atas PBI No. 6/21/PBI/2004 tentang Giro Wajib Minimum dalam Rupiah dan Valuta Asing bagi Bank Umum yang Melaksanakan Kegiatan Usaha Berdasarkan Prinsip Syariah.</w:t>
            </w:r>
          </w:p>
        </w:tc>
      </w:tr>
      <w:tr w:rsidR="005F242B" w:rsidRPr="00872F7B" w:rsidTr="005F242B">
        <w:tc>
          <w:tcPr>
            <w:tcW w:w="426" w:type="dxa"/>
            <w:shd w:val="clear" w:color="auto" w:fill="auto"/>
          </w:tcPr>
          <w:p w:rsidR="005F242B" w:rsidRPr="00872F7B" w:rsidRDefault="005F242B" w:rsidP="005F242B">
            <w:pPr>
              <w:pStyle w:val="ListParagraph"/>
              <w:spacing w:line="360" w:lineRule="auto"/>
              <w:ind w:left="0"/>
              <w:jc w:val="center"/>
              <w:rPr>
                <w:color w:val="000000"/>
                <w:lang w:val="id-ID"/>
              </w:rPr>
            </w:pPr>
            <w:r w:rsidRPr="00872F7B">
              <w:rPr>
                <w:color w:val="000000"/>
                <w:lang w:val="id-ID"/>
              </w:rPr>
              <w:t>5.</w:t>
            </w:r>
          </w:p>
        </w:tc>
        <w:tc>
          <w:tcPr>
            <w:tcW w:w="2693" w:type="dxa"/>
            <w:shd w:val="clear" w:color="auto" w:fill="auto"/>
          </w:tcPr>
          <w:p w:rsidR="005F242B" w:rsidRPr="00872F7B" w:rsidRDefault="005F242B" w:rsidP="005F242B">
            <w:pPr>
              <w:pStyle w:val="ListParagraph"/>
              <w:spacing w:line="360" w:lineRule="auto"/>
              <w:ind w:left="0"/>
              <w:jc w:val="both"/>
              <w:rPr>
                <w:color w:val="000000"/>
                <w:lang w:val="id-ID"/>
              </w:rPr>
            </w:pPr>
            <w:r w:rsidRPr="00872F7B">
              <w:rPr>
                <w:color w:val="000000"/>
              </w:rPr>
              <w:t>PBI No.10/24/PBI/2008</w:t>
            </w:r>
          </w:p>
        </w:tc>
        <w:tc>
          <w:tcPr>
            <w:tcW w:w="923" w:type="dxa"/>
            <w:shd w:val="clear" w:color="auto" w:fill="auto"/>
          </w:tcPr>
          <w:p w:rsidR="005F242B" w:rsidRPr="00872F7B" w:rsidRDefault="005F242B" w:rsidP="005F242B">
            <w:pPr>
              <w:spacing w:line="360" w:lineRule="auto"/>
            </w:pPr>
            <w:r w:rsidRPr="00872F7B">
              <w:rPr>
                <w:color w:val="000000"/>
              </w:rPr>
              <w:t>tentang</w:t>
            </w:r>
          </w:p>
        </w:tc>
        <w:tc>
          <w:tcPr>
            <w:tcW w:w="4747" w:type="dxa"/>
            <w:shd w:val="clear" w:color="auto" w:fill="auto"/>
          </w:tcPr>
          <w:p w:rsidR="005F242B" w:rsidRPr="00872F7B" w:rsidRDefault="005F242B" w:rsidP="005F242B">
            <w:pPr>
              <w:pStyle w:val="ListParagraph"/>
              <w:spacing w:line="360" w:lineRule="auto"/>
              <w:ind w:left="0"/>
              <w:jc w:val="both"/>
              <w:rPr>
                <w:color w:val="000000"/>
                <w:lang w:val="id-ID"/>
              </w:rPr>
            </w:pPr>
            <w:r w:rsidRPr="00872F7B">
              <w:rPr>
                <w:color w:val="000000"/>
              </w:rPr>
              <w:t>Perubahan Kedua Atas PBI No.</w:t>
            </w:r>
            <w:r w:rsidRPr="00872F7B">
              <w:rPr>
                <w:color w:val="000000"/>
                <w:lang w:val="id-ID"/>
              </w:rPr>
              <w:t xml:space="preserve"> </w:t>
            </w:r>
            <w:r w:rsidRPr="00872F7B">
              <w:rPr>
                <w:color w:val="000000"/>
              </w:rPr>
              <w:t>8/21/PBI/2006 tentang Penilaian</w:t>
            </w:r>
            <w:r w:rsidRPr="00872F7B">
              <w:rPr>
                <w:color w:val="000000"/>
                <w:lang w:val="id-ID"/>
              </w:rPr>
              <w:t xml:space="preserve"> </w:t>
            </w:r>
            <w:r w:rsidRPr="00872F7B">
              <w:rPr>
                <w:color w:val="000000"/>
              </w:rPr>
              <w:t>Kualitas Aktiva Bank Umum yang</w:t>
            </w:r>
            <w:r w:rsidRPr="00872F7B">
              <w:rPr>
                <w:color w:val="000000"/>
                <w:lang w:val="id-ID"/>
              </w:rPr>
              <w:t xml:space="preserve"> </w:t>
            </w:r>
            <w:r w:rsidRPr="00872F7B">
              <w:rPr>
                <w:color w:val="000000"/>
              </w:rPr>
              <w:t>Melaksanakan Kegiatan Usaha</w:t>
            </w:r>
            <w:r w:rsidRPr="00872F7B">
              <w:rPr>
                <w:color w:val="000000"/>
                <w:lang w:val="id-ID"/>
              </w:rPr>
              <w:t xml:space="preserve"> </w:t>
            </w:r>
            <w:r w:rsidRPr="00872F7B">
              <w:rPr>
                <w:color w:val="000000"/>
              </w:rPr>
              <w:t>Berdasarkan Prinsip Syariah.</w:t>
            </w:r>
          </w:p>
        </w:tc>
      </w:tr>
      <w:tr w:rsidR="005F242B" w:rsidRPr="00872F7B" w:rsidTr="005F242B">
        <w:tc>
          <w:tcPr>
            <w:tcW w:w="426" w:type="dxa"/>
            <w:shd w:val="clear" w:color="auto" w:fill="auto"/>
          </w:tcPr>
          <w:p w:rsidR="005F242B" w:rsidRPr="00872F7B" w:rsidRDefault="005F242B" w:rsidP="005F242B">
            <w:pPr>
              <w:pStyle w:val="ListParagraph"/>
              <w:spacing w:line="360" w:lineRule="auto"/>
              <w:ind w:left="0"/>
              <w:jc w:val="center"/>
              <w:rPr>
                <w:color w:val="000000"/>
                <w:lang w:val="id-ID"/>
              </w:rPr>
            </w:pPr>
            <w:r w:rsidRPr="00872F7B">
              <w:rPr>
                <w:color w:val="000000"/>
                <w:lang w:val="id-ID"/>
              </w:rPr>
              <w:t>6.</w:t>
            </w:r>
          </w:p>
        </w:tc>
        <w:tc>
          <w:tcPr>
            <w:tcW w:w="2693" w:type="dxa"/>
            <w:shd w:val="clear" w:color="auto" w:fill="auto"/>
          </w:tcPr>
          <w:p w:rsidR="005F242B" w:rsidRPr="00872F7B" w:rsidRDefault="005F242B" w:rsidP="005F242B">
            <w:pPr>
              <w:pStyle w:val="ListParagraph"/>
              <w:spacing w:line="360" w:lineRule="auto"/>
              <w:ind w:left="0"/>
              <w:jc w:val="both"/>
              <w:rPr>
                <w:color w:val="000000"/>
                <w:lang w:val="id-ID"/>
              </w:rPr>
            </w:pPr>
            <w:r w:rsidRPr="00872F7B">
              <w:rPr>
                <w:color w:val="000000"/>
              </w:rPr>
              <w:t>PBI No. 10/32/PBI/2008</w:t>
            </w:r>
          </w:p>
        </w:tc>
        <w:tc>
          <w:tcPr>
            <w:tcW w:w="923" w:type="dxa"/>
            <w:shd w:val="clear" w:color="auto" w:fill="auto"/>
          </w:tcPr>
          <w:p w:rsidR="005F242B" w:rsidRPr="00872F7B" w:rsidRDefault="005F242B" w:rsidP="005F242B">
            <w:pPr>
              <w:spacing w:line="360" w:lineRule="auto"/>
            </w:pPr>
            <w:r w:rsidRPr="00872F7B">
              <w:rPr>
                <w:color w:val="000000"/>
              </w:rPr>
              <w:t>tentang</w:t>
            </w:r>
          </w:p>
        </w:tc>
        <w:tc>
          <w:tcPr>
            <w:tcW w:w="4747" w:type="dxa"/>
            <w:shd w:val="clear" w:color="auto" w:fill="auto"/>
          </w:tcPr>
          <w:p w:rsidR="005F242B" w:rsidRPr="00872F7B" w:rsidRDefault="005F242B" w:rsidP="005F242B">
            <w:pPr>
              <w:pStyle w:val="ListParagraph"/>
              <w:spacing w:line="360" w:lineRule="auto"/>
              <w:ind w:left="0"/>
              <w:jc w:val="both"/>
              <w:rPr>
                <w:color w:val="000000"/>
                <w:lang w:val="id-ID"/>
              </w:rPr>
            </w:pPr>
            <w:r w:rsidRPr="00872F7B">
              <w:rPr>
                <w:color w:val="000000"/>
              </w:rPr>
              <w:t>Komite Perbankan Syariah</w:t>
            </w:r>
          </w:p>
        </w:tc>
      </w:tr>
      <w:tr w:rsidR="005F242B" w:rsidRPr="00872F7B" w:rsidTr="005F242B">
        <w:tc>
          <w:tcPr>
            <w:tcW w:w="426" w:type="dxa"/>
            <w:shd w:val="clear" w:color="auto" w:fill="auto"/>
          </w:tcPr>
          <w:p w:rsidR="005F242B" w:rsidRPr="00872F7B" w:rsidRDefault="005F242B" w:rsidP="005F242B">
            <w:pPr>
              <w:pStyle w:val="ListParagraph"/>
              <w:spacing w:line="360" w:lineRule="auto"/>
              <w:ind w:left="0"/>
              <w:jc w:val="center"/>
              <w:rPr>
                <w:color w:val="000000"/>
                <w:lang w:val="id-ID"/>
              </w:rPr>
            </w:pPr>
            <w:r w:rsidRPr="00872F7B">
              <w:rPr>
                <w:color w:val="000000"/>
                <w:lang w:val="id-ID"/>
              </w:rPr>
              <w:t>7.</w:t>
            </w:r>
          </w:p>
        </w:tc>
        <w:tc>
          <w:tcPr>
            <w:tcW w:w="2693" w:type="dxa"/>
            <w:shd w:val="clear" w:color="auto" w:fill="auto"/>
          </w:tcPr>
          <w:p w:rsidR="005F242B" w:rsidRPr="00872F7B" w:rsidRDefault="005F242B" w:rsidP="005F242B">
            <w:pPr>
              <w:pStyle w:val="ListParagraph"/>
              <w:spacing w:line="360" w:lineRule="auto"/>
              <w:ind w:left="0"/>
              <w:jc w:val="both"/>
              <w:rPr>
                <w:color w:val="000000"/>
                <w:lang w:val="id-ID"/>
              </w:rPr>
            </w:pPr>
            <w:r w:rsidRPr="00872F7B">
              <w:rPr>
                <w:color w:val="000000"/>
              </w:rPr>
              <w:t>PBI No. 11/3/PBI/2009</w:t>
            </w:r>
          </w:p>
        </w:tc>
        <w:tc>
          <w:tcPr>
            <w:tcW w:w="923" w:type="dxa"/>
            <w:shd w:val="clear" w:color="auto" w:fill="auto"/>
          </w:tcPr>
          <w:p w:rsidR="005F242B" w:rsidRPr="00872F7B" w:rsidRDefault="005F242B" w:rsidP="005F242B">
            <w:pPr>
              <w:spacing w:line="360" w:lineRule="auto"/>
            </w:pPr>
            <w:r w:rsidRPr="00872F7B">
              <w:rPr>
                <w:color w:val="000000"/>
              </w:rPr>
              <w:t>tentang</w:t>
            </w:r>
          </w:p>
        </w:tc>
        <w:tc>
          <w:tcPr>
            <w:tcW w:w="4747" w:type="dxa"/>
            <w:shd w:val="clear" w:color="auto" w:fill="auto"/>
          </w:tcPr>
          <w:p w:rsidR="005F242B" w:rsidRPr="00872F7B" w:rsidRDefault="005F242B" w:rsidP="005F242B">
            <w:pPr>
              <w:spacing w:line="360" w:lineRule="auto"/>
              <w:jc w:val="both"/>
              <w:rPr>
                <w:color w:val="000000"/>
              </w:rPr>
            </w:pPr>
            <w:r w:rsidRPr="00872F7B">
              <w:rPr>
                <w:color w:val="000000"/>
              </w:rPr>
              <w:t>Bank Umum Syariah</w:t>
            </w:r>
          </w:p>
        </w:tc>
      </w:tr>
    </w:tbl>
    <w:p w:rsidR="005F242B" w:rsidRDefault="005F242B" w:rsidP="005F242B">
      <w:pPr>
        <w:spacing w:line="360" w:lineRule="auto"/>
        <w:ind w:firstLine="720"/>
        <w:jc w:val="both"/>
        <w:rPr>
          <w:color w:val="000000"/>
          <w:lang w:val="id-ID"/>
        </w:rPr>
      </w:pPr>
    </w:p>
    <w:p w:rsidR="005F242B" w:rsidRDefault="005F242B" w:rsidP="005F242B">
      <w:pPr>
        <w:spacing w:line="360" w:lineRule="auto"/>
        <w:ind w:firstLine="720"/>
        <w:jc w:val="both"/>
        <w:rPr>
          <w:color w:val="000000"/>
          <w:lang w:val="id-ID"/>
        </w:rPr>
      </w:pPr>
      <w:proofErr w:type="gramStart"/>
      <w:r w:rsidRPr="001130E4">
        <w:rPr>
          <w:color w:val="000000"/>
        </w:rPr>
        <w:t>Perkembangan dan pertumbuhan perbankan syariah di Indonesia makin maju dan berkembang.</w:t>
      </w:r>
      <w:proofErr w:type="gramEnd"/>
      <w:r w:rsidRPr="001130E4">
        <w:rPr>
          <w:color w:val="000000"/>
        </w:rPr>
        <w:t xml:space="preserve"> </w:t>
      </w:r>
      <w:proofErr w:type="gramStart"/>
      <w:r w:rsidRPr="001130E4">
        <w:rPr>
          <w:color w:val="000000"/>
        </w:rPr>
        <w:t>Dampak krisis moneter membawa pengaruh yang positif bagi perbankan syariah karena kalangan masyarakat dan pakar ekonomi tidak cuma memantau melainkan ingin prinsif syariah diterapkan secara maksimal.</w:t>
      </w:r>
      <w:proofErr w:type="gramEnd"/>
      <w:r w:rsidRPr="001130E4">
        <w:rPr>
          <w:color w:val="000000"/>
        </w:rPr>
        <w:t xml:space="preserve"> Perbankan syariah di Indonesia menunjukkan peningkatan yang sangat pesat sehingga </w:t>
      </w:r>
      <w:proofErr w:type="gramStart"/>
      <w:r w:rsidRPr="001130E4">
        <w:rPr>
          <w:color w:val="000000"/>
        </w:rPr>
        <w:t>akan</w:t>
      </w:r>
      <w:proofErr w:type="gramEnd"/>
      <w:r w:rsidRPr="001130E4">
        <w:rPr>
          <w:color w:val="000000"/>
        </w:rPr>
        <w:t xml:space="preserve"> terus berkembang yang nantinya dapat memperkuat stabili</w:t>
      </w:r>
      <w:r>
        <w:rPr>
          <w:color w:val="000000"/>
        </w:rPr>
        <w:t xml:space="preserve">tas perekonomian dan keuangan. </w:t>
      </w:r>
      <w:proofErr w:type="gramStart"/>
      <w:r w:rsidRPr="001130E4">
        <w:rPr>
          <w:color w:val="000000"/>
        </w:rPr>
        <w:t>Dapat dilihat dari perkembangan dan pertumbuhan bank syariah di Indonesia dari tahun 2000 sampai tahun 2017 perbankan syariah mengalami lonjakan perkembangan yang sangat pesat.</w:t>
      </w:r>
      <w:proofErr w:type="gramEnd"/>
      <w:r w:rsidRPr="001130E4">
        <w:rPr>
          <w:color w:val="000000"/>
        </w:rPr>
        <w:t xml:space="preserve"> </w:t>
      </w:r>
      <w:r w:rsidRPr="001130E4">
        <w:rPr>
          <w:color w:val="000000"/>
          <w:lang w:eastAsia="id-ID"/>
        </w:rPr>
        <w:t xml:space="preserve">Pada tahun 1992 sampai tahun 1999 Bank Umum Syariah di Indonesia hanya ada satu yaitu Bank Muamalat Indonesia (BMI). </w:t>
      </w:r>
      <w:proofErr w:type="gramStart"/>
      <w:r w:rsidRPr="001130E4">
        <w:rPr>
          <w:color w:val="000000"/>
          <w:lang w:eastAsia="id-ID"/>
        </w:rPr>
        <w:t>Tahun 2000 sampai tahun 2003 Bank Umum Syariah bertambah satu lagi ya</w:t>
      </w:r>
      <w:r>
        <w:rPr>
          <w:color w:val="000000"/>
          <w:lang w:eastAsia="id-ID"/>
        </w:rPr>
        <w:t>itu Bank Syariah Mandiri (BSM).</w:t>
      </w:r>
      <w:proofErr w:type="gramEnd"/>
      <w:r>
        <w:rPr>
          <w:color w:val="000000"/>
          <w:lang w:eastAsia="id-ID"/>
        </w:rPr>
        <w:t xml:space="preserve"> </w:t>
      </w:r>
      <w:proofErr w:type="gramStart"/>
      <w:r w:rsidRPr="001130E4">
        <w:rPr>
          <w:color w:val="000000"/>
        </w:rPr>
        <w:t xml:space="preserve">Kemudian pada </w:t>
      </w:r>
      <w:r w:rsidRPr="001130E4">
        <w:rPr>
          <w:color w:val="000000"/>
          <w:lang w:eastAsia="id-ID"/>
        </w:rPr>
        <w:t>tahun 2004 sampai tahun 2007 Bank Umum Syariah bertambah yaitu Bank Syariah Mega Indonesia (BSMI).</w:t>
      </w:r>
      <w:proofErr w:type="gramEnd"/>
      <w:r w:rsidRPr="001130E4">
        <w:rPr>
          <w:color w:val="000000"/>
          <w:lang w:eastAsia="id-ID"/>
        </w:rPr>
        <w:t xml:space="preserve"> Sehingga pada tahun 2008</w:t>
      </w:r>
      <w:r w:rsidRPr="001130E4">
        <w:rPr>
          <w:color w:val="000000"/>
        </w:rPr>
        <w:t xml:space="preserve"> diklasifikasikan sebagai jenis industri yang baru karena memiliki persaingan dan daya tarik yang tinggi, hal ini tampak terlihat tidak hanya dalam kategori bank umum syariah atau BPRS tetapi dalam bentuk UUS</w:t>
      </w:r>
      <w:r>
        <w:rPr>
          <w:color w:val="000000"/>
          <w:lang w:val="id-ID"/>
        </w:rPr>
        <w:t xml:space="preserve"> </w:t>
      </w:r>
      <w:r>
        <w:rPr>
          <w:color w:val="000000"/>
        </w:rPr>
        <w:fldChar w:fldCharType="begin" w:fldLock="1"/>
      </w:r>
      <w:r w:rsidR="00AD31BA">
        <w:rPr>
          <w:color w:val="000000"/>
        </w:rPr>
        <w:instrText>ADDIN CSL_CITATION { "citationItems" : [ { "id" : "ITEM-1", "itemData" : { "abstract" : "Sharia banking in Indonesia has approached 24 years of age. This age implies that it such sharia banking has shifted to maturity phase. It has developed significantly compared to that of previous years. It can be observed from its average growth of its assets, DPK, PYD which is 45% higher than the years of 2000 up to 2014. However, it is expected that it must able to make use of opportunities which are presently available to encounter challenges in the future, Consequently, it should be able to take advantage of supports and contributions of other such related parties as government, ulama, society, academicians, and students majoring in sharia banking as well.", "author" : [ { "dropping-particle" : "", "family" : "Nofinawati", "given" : "", "non-dropping-particle" : "", "parse-names" : false, "suffix" : "" } ], "container-title" : "Jurnal JURIS", "id" : "ITEM-1", "issue" : "2", "issued" : { "date-parts" : [ [ "2015" ] ] }, "page" : "168-183", "title" : "Perkembangan perbankan syariah di indonesia", "type" : "article-journal", "volume" : "14" }, "uris" : [ "http://www.mendeley.com/documents/?uuid=425fc8f5-5746-40d1-9035-a778b00e69a4" ] } ], "mendeley" : { "formattedCitation" : "(Nofinawati 2015)", "manualFormatting" : "(Nofinawati, 2015)", "plainTextFormattedCitation" : "(Nofinawati 2015)", "previouslyFormattedCitation" : "(Nofinawati 2015)" }, "properties" : { "noteIndex" : 0 }, "schema" : "https://github.com/citation-style-language/schema/raw/master/csl-citation.json" }</w:instrText>
      </w:r>
      <w:r>
        <w:rPr>
          <w:color w:val="000000"/>
        </w:rPr>
        <w:fldChar w:fldCharType="separate"/>
      </w:r>
      <w:r w:rsidRPr="005F242B">
        <w:rPr>
          <w:noProof/>
          <w:color w:val="000000"/>
        </w:rPr>
        <w:t>(Nofinawati</w:t>
      </w:r>
      <w:r>
        <w:rPr>
          <w:noProof/>
          <w:color w:val="000000"/>
          <w:lang w:val="id-ID"/>
        </w:rPr>
        <w:t>, 2015</w:t>
      </w:r>
      <w:r w:rsidRPr="005F242B">
        <w:rPr>
          <w:noProof/>
          <w:color w:val="000000"/>
        </w:rPr>
        <w:t>)</w:t>
      </w:r>
      <w:r>
        <w:rPr>
          <w:color w:val="000000"/>
        </w:rPr>
        <w:fldChar w:fldCharType="end"/>
      </w:r>
      <w:r>
        <w:rPr>
          <w:color w:val="000000"/>
          <w:lang w:val="id-ID"/>
        </w:rPr>
        <w:t>.</w:t>
      </w:r>
    </w:p>
    <w:p w:rsidR="005F242B" w:rsidRDefault="005F242B" w:rsidP="005F242B">
      <w:pPr>
        <w:spacing w:line="360" w:lineRule="auto"/>
        <w:ind w:firstLine="720"/>
        <w:jc w:val="both"/>
      </w:pPr>
      <w:proofErr w:type="gramStart"/>
      <w:r>
        <w:t xml:space="preserve">Bank syariah dinilai terbukti </w:t>
      </w:r>
      <w:r w:rsidRPr="00724F46">
        <w:t xml:space="preserve">mampu menjadi </w:t>
      </w:r>
      <w:r>
        <w:t>lebih efektif sekaligus mendorong perkembangan dan pertubuhan sehingga adanya daya tarik ditengah-tengah masyarakat.</w:t>
      </w:r>
      <w:proofErr w:type="gramEnd"/>
      <w:r>
        <w:t xml:space="preserve"> </w:t>
      </w:r>
      <w:proofErr w:type="gramStart"/>
      <w:r>
        <w:t xml:space="preserve">Perkembangan dan pertumbuhan bank syariah di Indonesia berkembang dengan pesat </w:t>
      </w:r>
      <w:r>
        <w:lastRenderedPageBreak/>
        <w:t>walaupun masih relatif baru dibandingkan dengan bank konvensional tetapi sudah menunjukkan prestasi yang baik.</w:t>
      </w:r>
      <w:proofErr w:type="gramEnd"/>
      <w:r>
        <w:t xml:space="preserve"> Dibawah ini penulis akan memberikan paparan </w:t>
      </w:r>
      <w:proofErr w:type="gramStart"/>
      <w:r>
        <w:t>mengenai  perkembangan</w:t>
      </w:r>
      <w:proofErr w:type="gramEnd"/>
      <w:r>
        <w:t xml:space="preserve"> dan pertumbuhan kelembagaan serta kinerja bank syariah di Indonesia mulai tahun 2007 sampai 2017 dalam bentuk tabel berikut ini:</w:t>
      </w:r>
    </w:p>
    <w:p w:rsidR="005F242B" w:rsidRPr="005F242B" w:rsidRDefault="005F242B" w:rsidP="005F242B">
      <w:pPr>
        <w:jc w:val="center"/>
      </w:pPr>
      <w:proofErr w:type="gramStart"/>
      <w:r w:rsidRPr="005F242B">
        <w:t>Tabel 1.</w:t>
      </w:r>
      <w:proofErr w:type="gramEnd"/>
    </w:p>
    <w:p w:rsidR="005F242B" w:rsidRPr="005F242B" w:rsidRDefault="005F242B" w:rsidP="005F242B">
      <w:pPr>
        <w:jc w:val="center"/>
        <w:rPr>
          <w:rStyle w:val="fontstyle01"/>
          <w:b w:val="0"/>
          <w:sz w:val="24"/>
          <w:szCs w:val="24"/>
        </w:rPr>
      </w:pPr>
      <w:r w:rsidRPr="005F242B">
        <w:rPr>
          <w:rStyle w:val="fontstyle01"/>
          <w:b w:val="0"/>
          <w:sz w:val="24"/>
          <w:szCs w:val="24"/>
        </w:rPr>
        <w:t xml:space="preserve">Perkembangan dan Pertumbuhan Perbankan Syariah Indonesia </w:t>
      </w:r>
    </w:p>
    <w:p w:rsidR="005F242B" w:rsidRDefault="005F242B" w:rsidP="005F242B">
      <w:pPr>
        <w:jc w:val="center"/>
        <w:rPr>
          <w:rStyle w:val="fontstyle01"/>
          <w:b w:val="0"/>
          <w:sz w:val="24"/>
          <w:szCs w:val="24"/>
          <w:lang w:val="id-ID"/>
        </w:rPr>
      </w:pPr>
      <w:r w:rsidRPr="005F242B">
        <w:rPr>
          <w:rStyle w:val="fontstyle01"/>
          <w:b w:val="0"/>
          <w:sz w:val="24"/>
          <w:szCs w:val="24"/>
        </w:rPr>
        <w:t>Tahun 2007 sampai 2017</w:t>
      </w:r>
    </w:p>
    <w:p w:rsidR="005F242B" w:rsidRPr="005F242B" w:rsidRDefault="005F242B" w:rsidP="005F242B">
      <w:pPr>
        <w:jc w:val="center"/>
        <w:rPr>
          <w:lang w:val="id-ID"/>
        </w:rPr>
      </w:pPr>
    </w:p>
    <w:tbl>
      <w:tblPr>
        <w:tblW w:w="9301"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374"/>
        <w:gridCol w:w="681"/>
        <w:gridCol w:w="681"/>
        <w:gridCol w:w="682"/>
        <w:gridCol w:w="682"/>
        <w:gridCol w:w="743"/>
        <w:gridCol w:w="743"/>
        <w:gridCol w:w="743"/>
        <w:gridCol w:w="743"/>
        <w:gridCol w:w="743"/>
        <w:gridCol w:w="743"/>
        <w:gridCol w:w="743"/>
      </w:tblGrid>
      <w:tr w:rsidR="005F242B" w:rsidRPr="00404B5B" w:rsidTr="004E3907">
        <w:tc>
          <w:tcPr>
            <w:tcW w:w="1418"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Indikator</w:t>
            </w:r>
          </w:p>
        </w:tc>
        <w:tc>
          <w:tcPr>
            <w:tcW w:w="683"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2007</w:t>
            </w:r>
          </w:p>
        </w:tc>
        <w:tc>
          <w:tcPr>
            <w:tcW w:w="682"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2008</w:t>
            </w:r>
          </w:p>
        </w:tc>
        <w:tc>
          <w:tcPr>
            <w:tcW w:w="683"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2009</w:t>
            </w:r>
          </w:p>
        </w:tc>
        <w:tc>
          <w:tcPr>
            <w:tcW w:w="683"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2010</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2011</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2012</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2013</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2014</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2015</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2016</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2017</w:t>
            </w:r>
          </w:p>
        </w:tc>
      </w:tr>
      <w:tr w:rsidR="005F242B" w:rsidRPr="00404B5B" w:rsidTr="004E3907">
        <w:tc>
          <w:tcPr>
            <w:tcW w:w="1418"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BUS</w:t>
            </w:r>
          </w:p>
        </w:tc>
        <w:tc>
          <w:tcPr>
            <w:tcW w:w="683"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3</w:t>
            </w:r>
          </w:p>
        </w:tc>
        <w:tc>
          <w:tcPr>
            <w:tcW w:w="682"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5</w:t>
            </w:r>
          </w:p>
        </w:tc>
        <w:tc>
          <w:tcPr>
            <w:tcW w:w="683"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6</w:t>
            </w:r>
          </w:p>
        </w:tc>
        <w:tc>
          <w:tcPr>
            <w:tcW w:w="683"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11</w:t>
            </w:r>
          </w:p>
        </w:tc>
        <w:tc>
          <w:tcPr>
            <w:tcW w:w="736"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11</w:t>
            </w:r>
          </w:p>
        </w:tc>
        <w:tc>
          <w:tcPr>
            <w:tcW w:w="736"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11</w:t>
            </w:r>
          </w:p>
        </w:tc>
        <w:tc>
          <w:tcPr>
            <w:tcW w:w="736"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11</w:t>
            </w:r>
          </w:p>
        </w:tc>
        <w:tc>
          <w:tcPr>
            <w:tcW w:w="736"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12</w:t>
            </w:r>
          </w:p>
        </w:tc>
        <w:tc>
          <w:tcPr>
            <w:tcW w:w="736"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12</w:t>
            </w:r>
          </w:p>
        </w:tc>
        <w:tc>
          <w:tcPr>
            <w:tcW w:w="736"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13</w:t>
            </w:r>
          </w:p>
        </w:tc>
        <w:tc>
          <w:tcPr>
            <w:tcW w:w="736"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13</w:t>
            </w:r>
          </w:p>
        </w:tc>
      </w:tr>
      <w:tr w:rsidR="005F242B" w:rsidRPr="00404B5B" w:rsidTr="004E3907">
        <w:tc>
          <w:tcPr>
            <w:tcW w:w="1418"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UUS</w:t>
            </w:r>
          </w:p>
        </w:tc>
        <w:tc>
          <w:tcPr>
            <w:tcW w:w="683"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26</w:t>
            </w:r>
          </w:p>
        </w:tc>
        <w:tc>
          <w:tcPr>
            <w:tcW w:w="682"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27</w:t>
            </w:r>
          </w:p>
        </w:tc>
        <w:tc>
          <w:tcPr>
            <w:tcW w:w="683"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25</w:t>
            </w:r>
          </w:p>
        </w:tc>
        <w:tc>
          <w:tcPr>
            <w:tcW w:w="683"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23</w:t>
            </w:r>
          </w:p>
        </w:tc>
        <w:tc>
          <w:tcPr>
            <w:tcW w:w="736"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23</w:t>
            </w:r>
          </w:p>
        </w:tc>
        <w:tc>
          <w:tcPr>
            <w:tcW w:w="736"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24</w:t>
            </w:r>
          </w:p>
        </w:tc>
        <w:tc>
          <w:tcPr>
            <w:tcW w:w="736"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23</w:t>
            </w:r>
          </w:p>
        </w:tc>
        <w:tc>
          <w:tcPr>
            <w:tcW w:w="736"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22</w:t>
            </w:r>
          </w:p>
        </w:tc>
        <w:tc>
          <w:tcPr>
            <w:tcW w:w="736"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22</w:t>
            </w:r>
          </w:p>
        </w:tc>
        <w:tc>
          <w:tcPr>
            <w:tcW w:w="736"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21</w:t>
            </w:r>
          </w:p>
        </w:tc>
        <w:tc>
          <w:tcPr>
            <w:tcW w:w="736"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21</w:t>
            </w:r>
          </w:p>
        </w:tc>
      </w:tr>
      <w:tr w:rsidR="005F242B" w:rsidRPr="00404B5B" w:rsidTr="004E3907">
        <w:tc>
          <w:tcPr>
            <w:tcW w:w="1418"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BPRS</w:t>
            </w:r>
          </w:p>
        </w:tc>
        <w:tc>
          <w:tcPr>
            <w:tcW w:w="683"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114</w:t>
            </w:r>
          </w:p>
        </w:tc>
        <w:tc>
          <w:tcPr>
            <w:tcW w:w="682"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131</w:t>
            </w:r>
          </w:p>
        </w:tc>
        <w:tc>
          <w:tcPr>
            <w:tcW w:w="683"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138</w:t>
            </w:r>
          </w:p>
        </w:tc>
        <w:tc>
          <w:tcPr>
            <w:tcW w:w="683"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150</w:t>
            </w:r>
          </w:p>
        </w:tc>
        <w:tc>
          <w:tcPr>
            <w:tcW w:w="736"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155</w:t>
            </w:r>
          </w:p>
        </w:tc>
        <w:tc>
          <w:tcPr>
            <w:tcW w:w="736"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158</w:t>
            </w:r>
          </w:p>
        </w:tc>
        <w:tc>
          <w:tcPr>
            <w:tcW w:w="736"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163</w:t>
            </w:r>
          </w:p>
        </w:tc>
        <w:tc>
          <w:tcPr>
            <w:tcW w:w="736"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163</w:t>
            </w:r>
          </w:p>
        </w:tc>
        <w:tc>
          <w:tcPr>
            <w:tcW w:w="736"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163</w:t>
            </w:r>
          </w:p>
        </w:tc>
        <w:tc>
          <w:tcPr>
            <w:tcW w:w="736"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166</w:t>
            </w:r>
          </w:p>
        </w:tc>
        <w:tc>
          <w:tcPr>
            <w:tcW w:w="736" w:type="dxa"/>
            <w:shd w:val="clear" w:color="auto" w:fill="auto"/>
            <w:vAlign w:val="center"/>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167</w:t>
            </w:r>
          </w:p>
        </w:tc>
      </w:tr>
      <w:tr w:rsidR="005F242B" w:rsidRPr="00404B5B" w:rsidTr="004E3907">
        <w:tc>
          <w:tcPr>
            <w:tcW w:w="1418" w:type="dxa"/>
            <w:shd w:val="clear" w:color="auto" w:fill="auto"/>
            <w:vAlign w:val="center"/>
          </w:tcPr>
          <w:p w:rsidR="005F242B" w:rsidRPr="00404B5B" w:rsidRDefault="005F242B" w:rsidP="004E3907">
            <w:pPr>
              <w:rPr>
                <w:rFonts w:asciiTheme="minorHAnsi" w:hAnsiTheme="minorHAnsi"/>
                <w:sz w:val="16"/>
                <w:szCs w:val="16"/>
              </w:rPr>
            </w:pPr>
            <w:r w:rsidRPr="00404B5B">
              <w:rPr>
                <w:rFonts w:asciiTheme="minorHAnsi" w:hAnsiTheme="minorHAnsi"/>
                <w:sz w:val="16"/>
                <w:szCs w:val="16"/>
              </w:rPr>
              <w:t>Jaringan Kantor</w:t>
            </w:r>
          </w:p>
        </w:tc>
        <w:tc>
          <w:tcPr>
            <w:tcW w:w="683"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782</w:t>
            </w:r>
          </w:p>
        </w:tc>
        <w:tc>
          <w:tcPr>
            <w:tcW w:w="682"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1.024</w:t>
            </w:r>
          </w:p>
        </w:tc>
        <w:tc>
          <w:tcPr>
            <w:tcW w:w="683"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1.223</w:t>
            </w:r>
          </w:p>
        </w:tc>
        <w:tc>
          <w:tcPr>
            <w:tcW w:w="683"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1.763</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2.101</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2.663</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2.990</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2.910</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2.747</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2.654</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2.610</w:t>
            </w:r>
          </w:p>
        </w:tc>
      </w:tr>
      <w:tr w:rsidR="005F242B" w:rsidRPr="00404B5B" w:rsidTr="004E3907">
        <w:tc>
          <w:tcPr>
            <w:tcW w:w="1418" w:type="dxa"/>
            <w:shd w:val="clear" w:color="auto" w:fill="auto"/>
            <w:vAlign w:val="center"/>
          </w:tcPr>
          <w:p w:rsidR="005F242B" w:rsidRPr="00404B5B" w:rsidRDefault="005F242B" w:rsidP="004E3907">
            <w:pPr>
              <w:rPr>
                <w:rFonts w:asciiTheme="minorHAnsi" w:hAnsiTheme="minorHAnsi"/>
                <w:sz w:val="16"/>
                <w:szCs w:val="16"/>
              </w:rPr>
            </w:pPr>
            <w:r w:rsidRPr="00404B5B">
              <w:rPr>
                <w:rFonts w:asciiTheme="minorHAnsi" w:hAnsiTheme="minorHAnsi"/>
                <w:sz w:val="16"/>
                <w:szCs w:val="16"/>
              </w:rPr>
              <w:t>Aset (Miliar Rp)</w:t>
            </w:r>
          </w:p>
        </w:tc>
        <w:tc>
          <w:tcPr>
            <w:tcW w:w="683"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36.538</w:t>
            </w:r>
          </w:p>
        </w:tc>
        <w:tc>
          <w:tcPr>
            <w:tcW w:w="682"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49.555</w:t>
            </w:r>
          </w:p>
        </w:tc>
        <w:tc>
          <w:tcPr>
            <w:tcW w:w="683"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66.090</w:t>
            </w:r>
          </w:p>
        </w:tc>
        <w:tc>
          <w:tcPr>
            <w:tcW w:w="683"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97.519</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145.467</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195.018</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242.276</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272.343</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308.989</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372.881</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440.304</w:t>
            </w:r>
          </w:p>
        </w:tc>
      </w:tr>
      <w:tr w:rsidR="005F242B" w:rsidRPr="00404B5B" w:rsidTr="004E3907">
        <w:tc>
          <w:tcPr>
            <w:tcW w:w="1418" w:type="dxa"/>
            <w:shd w:val="clear" w:color="auto" w:fill="auto"/>
            <w:vAlign w:val="center"/>
          </w:tcPr>
          <w:p w:rsidR="005F242B" w:rsidRPr="00404B5B" w:rsidRDefault="005F242B" w:rsidP="004E3907">
            <w:pPr>
              <w:rPr>
                <w:rFonts w:asciiTheme="minorHAnsi" w:hAnsiTheme="minorHAnsi"/>
                <w:sz w:val="16"/>
                <w:szCs w:val="16"/>
              </w:rPr>
            </w:pPr>
            <w:r w:rsidRPr="00404B5B">
              <w:rPr>
                <w:rFonts w:asciiTheme="minorHAnsi" w:hAnsiTheme="minorHAnsi"/>
                <w:sz w:val="16"/>
                <w:szCs w:val="16"/>
              </w:rPr>
              <w:t>DPK (Miliar Rp)</w:t>
            </w:r>
          </w:p>
        </w:tc>
        <w:tc>
          <w:tcPr>
            <w:tcW w:w="683"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28.012</w:t>
            </w:r>
          </w:p>
        </w:tc>
        <w:tc>
          <w:tcPr>
            <w:tcW w:w="682"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36.852</w:t>
            </w:r>
          </w:p>
        </w:tc>
        <w:tc>
          <w:tcPr>
            <w:tcW w:w="683"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52.271</w:t>
            </w:r>
          </w:p>
        </w:tc>
        <w:tc>
          <w:tcPr>
            <w:tcW w:w="683"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76.036</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115.415</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147.512</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183.534</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217.858</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231.175</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279.335</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334.719</w:t>
            </w:r>
          </w:p>
        </w:tc>
      </w:tr>
      <w:tr w:rsidR="005F242B" w:rsidRPr="00404B5B" w:rsidTr="004E3907">
        <w:tc>
          <w:tcPr>
            <w:tcW w:w="1418" w:type="dxa"/>
            <w:shd w:val="clear" w:color="auto" w:fill="auto"/>
            <w:vAlign w:val="center"/>
          </w:tcPr>
          <w:p w:rsidR="005F242B" w:rsidRPr="00404B5B" w:rsidRDefault="005F242B" w:rsidP="004E3907">
            <w:pPr>
              <w:rPr>
                <w:rFonts w:asciiTheme="minorHAnsi" w:hAnsiTheme="minorHAnsi"/>
                <w:sz w:val="16"/>
                <w:szCs w:val="16"/>
              </w:rPr>
            </w:pPr>
            <w:r w:rsidRPr="00404B5B">
              <w:rPr>
                <w:rFonts w:asciiTheme="minorHAnsi" w:hAnsiTheme="minorHAnsi"/>
                <w:sz w:val="16"/>
                <w:szCs w:val="16"/>
              </w:rPr>
              <w:t>PYD (Miliar Rp)</w:t>
            </w:r>
          </w:p>
        </w:tc>
        <w:tc>
          <w:tcPr>
            <w:tcW w:w="683"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27.944</w:t>
            </w:r>
          </w:p>
        </w:tc>
        <w:tc>
          <w:tcPr>
            <w:tcW w:w="682"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38.199</w:t>
            </w:r>
          </w:p>
        </w:tc>
        <w:tc>
          <w:tcPr>
            <w:tcW w:w="683"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46.886</w:t>
            </w:r>
          </w:p>
        </w:tc>
        <w:tc>
          <w:tcPr>
            <w:tcW w:w="683"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68.181</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102.655</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147.505</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184.122</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199.330</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229.544</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284.256</w:t>
            </w:r>
          </w:p>
        </w:tc>
        <w:tc>
          <w:tcPr>
            <w:tcW w:w="736" w:type="dxa"/>
            <w:shd w:val="clear" w:color="auto" w:fill="auto"/>
          </w:tcPr>
          <w:p w:rsidR="005F242B" w:rsidRPr="00404B5B" w:rsidRDefault="005F242B" w:rsidP="004E3907">
            <w:pPr>
              <w:jc w:val="center"/>
              <w:rPr>
                <w:rFonts w:asciiTheme="minorHAnsi" w:hAnsiTheme="minorHAnsi"/>
                <w:sz w:val="16"/>
                <w:szCs w:val="16"/>
              </w:rPr>
            </w:pPr>
            <w:r w:rsidRPr="00404B5B">
              <w:rPr>
                <w:rFonts w:asciiTheme="minorHAnsi" w:hAnsiTheme="minorHAnsi"/>
                <w:sz w:val="16"/>
                <w:szCs w:val="16"/>
              </w:rPr>
              <w:t>359.070</w:t>
            </w:r>
          </w:p>
        </w:tc>
      </w:tr>
    </w:tbl>
    <w:p w:rsidR="005F242B" w:rsidRDefault="005F242B" w:rsidP="005F242B">
      <w:pPr>
        <w:jc w:val="both"/>
      </w:pPr>
      <w:proofErr w:type="gramStart"/>
      <w:r>
        <w:t>Sumber :</w:t>
      </w:r>
      <w:proofErr w:type="gramEnd"/>
      <w:r>
        <w:t xml:space="preserve"> </w:t>
      </w:r>
      <w:r w:rsidRPr="00E144C8">
        <w:rPr>
          <w:color w:val="000000"/>
        </w:rPr>
        <w:t>Data Stat</w:t>
      </w:r>
      <w:r>
        <w:rPr>
          <w:color w:val="000000"/>
        </w:rPr>
        <w:t>istik Perbankan Syariah OJK (</w:t>
      </w:r>
      <w:r w:rsidRPr="00E144C8">
        <w:rPr>
          <w:color w:val="000000"/>
        </w:rPr>
        <w:t xml:space="preserve"> </w:t>
      </w:r>
      <w:hyperlink r:id="rId10" w:history="1">
        <w:r w:rsidRPr="00DE38CD">
          <w:rPr>
            <w:rStyle w:val="Hyperlink"/>
          </w:rPr>
          <w:t>http://www.ojk.go.id</w:t>
        </w:r>
      </w:hyperlink>
      <w:r>
        <w:rPr>
          <w:color w:val="000000"/>
        </w:rPr>
        <w:t>), data diolah</w:t>
      </w:r>
    </w:p>
    <w:p w:rsidR="005F242B" w:rsidRDefault="005F242B" w:rsidP="005F242B">
      <w:pPr>
        <w:jc w:val="both"/>
      </w:pPr>
      <w:r>
        <w:t>Keterangan:</w:t>
      </w:r>
    </w:p>
    <w:p w:rsidR="005F242B" w:rsidRDefault="005F242B" w:rsidP="005F242B">
      <w:pPr>
        <w:ind w:left="1134" w:hanging="709"/>
        <w:jc w:val="both"/>
      </w:pPr>
      <w:r>
        <w:t xml:space="preserve">BUS </w:t>
      </w:r>
      <w:r>
        <w:tab/>
        <w:t>: Bank Umum Syariah</w:t>
      </w:r>
    </w:p>
    <w:p w:rsidR="005F242B" w:rsidRDefault="005F242B" w:rsidP="005F242B">
      <w:pPr>
        <w:ind w:left="1134" w:hanging="709"/>
        <w:jc w:val="both"/>
      </w:pPr>
      <w:r>
        <w:t xml:space="preserve">USS </w:t>
      </w:r>
      <w:r>
        <w:tab/>
        <w:t>: Unit Usaha Syariah</w:t>
      </w:r>
    </w:p>
    <w:p w:rsidR="005F242B" w:rsidRDefault="005F242B" w:rsidP="005F242B">
      <w:pPr>
        <w:tabs>
          <w:tab w:val="left" w:pos="1134"/>
        </w:tabs>
        <w:ind w:left="1134" w:hanging="709"/>
        <w:jc w:val="both"/>
      </w:pPr>
      <w:r>
        <w:t xml:space="preserve">BPRS </w:t>
      </w:r>
      <w:r>
        <w:tab/>
        <w:t>: Bank Pembiayaan Rakyat Syariah</w:t>
      </w:r>
    </w:p>
    <w:p w:rsidR="005F242B" w:rsidRDefault="005F242B" w:rsidP="005F242B">
      <w:pPr>
        <w:ind w:left="1134" w:hanging="709"/>
        <w:jc w:val="both"/>
      </w:pPr>
      <w:r>
        <w:t xml:space="preserve">DPK </w:t>
      </w:r>
      <w:r>
        <w:tab/>
        <w:t>: Dana Pihak Ketiga</w:t>
      </w:r>
    </w:p>
    <w:p w:rsidR="005F242B" w:rsidRDefault="005F242B" w:rsidP="005F242B">
      <w:pPr>
        <w:ind w:left="1134" w:hanging="709"/>
        <w:jc w:val="both"/>
        <w:rPr>
          <w:lang w:val="id-ID"/>
        </w:rPr>
      </w:pPr>
      <w:r>
        <w:t xml:space="preserve">PYD </w:t>
      </w:r>
      <w:r>
        <w:tab/>
        <w:t>: Pembiayaan Yang Diberikan</w:t>
      </w:r>
    </w:p>
    <w:p w:rsidR="007F089D" w:rsidRPr="007F089D" w:rsidRDefault="007F089D" w:rsidP="005F242B">
      <w:pPr>
        <w:ind w:left="1134" w:hanging="709"/>
        <w:jc w:val="both"/>
        <w:rPr>
          <w:lang w:val="id-ID"/>
        </w:rPr>
      </w:pPr>
    </w:p>
    <w:p w:rsidR="005F242B" w:rsidRPr="00066D07" w:rsidRDefault="007F089D" w:rsidP="005D4E81">
      <w:pPr>
        <w:pStyle w:val="ListParagraph"/>
        <w:spacing w:line="360" w:lineRule="auto"/>
        <w:ind w:left="0" w:firstLine="720"/>
        <w:jc w:val="both"/>
        <w:rPr>
          <w:color w:val="000000"/>
          <w:lang w:val="id-ID"/>
        </w:rPr>
      </w:pPr>
      <w:r>
        <w:rPr>
          <w:b/>
          <w:noProof/>
          <w:lang w:eastAsia="id-ID"/>
        </w:rPr>
        <w:drawing>
          <wp:anchor distT="0" distB="0" distL="114300" distR="114300" simplePos="0" relativeHeight="251658240" behindDoc="0" locked="0" layoutInCell="1" allowOverlap="1" wp14:anchorId="478C684F" wp14:editId="708A8593">
            <wp:simplePos x="0" y="0"/>
            <wp:positionH relativeFrom="column">
              <wp:posOffset>-32385</wp:posOffset>
            </wp:positionH>
            <wp:positionV relativeFrom="paragraph">
              <wp:posOffset>12065</wp:posOffset>
            </wp:positionV>
            <wp:extent cx="5580380" cy="3495040"/>
            <wp:effectExtent l="0" t="0" r="1270" b="0"/>
            <wp:wrapNone/>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BB25D6" w:rsidRPr="00BB25D6" w:rsidRDefault="00BB25D6" w:rsidP="00BB25D6">
      <w:pPr>
        <w:pStyle w:val="ListParagraph"/>
        <w:spacing w:line="360" w:lineRule="auto"/>
        <w:ind w:left="0" w:firstLine="720"/>
        <w:jc w:val="both"/>
        <w:rPr>
          <w:b/>
          <w:color w:val="000000"/>
          <w:lang w:val="id-ID" w:eastAsia="id-ID"/>
        </w:rPr>
      </w:pPr>
    </w:p>
    <w:p w:rsidR="00BB25D6" w:rsidRPr="001130E4" w:rsidRDefault="00BB25D6" w:rsidP="000A5B99">
      <w:pPr>
        <w:pStyle w:val="ListParagraph"/>
        <w:spacing w:line="360" w:lineRule="auto"/>
        <w:ind w:left="0" w:firstLine="720"/>
        <w:jc w:val="both"/>
        <w:rPr>
          <w:color w:val="000000"/>
          <w:lang w:val="id-ID" w:eastAsia="id-ID"/>
        </w:rPr>
      </w:pPr>
    </w:p>
    <w:p w:rsidR="00086CC2" w:rsidRPr="009C34D0" w:rsidRDefault="00086CC2" w:rsidP="00086CC2">
      <w:pPr>
        <w:pStyle w:val="ListParagraph"/>
        <w:spacing w:line="360" w:lineRule="auto"/>
        <w:ind w:left="0" w:firstLine="720"/>
        <w:jc w:val="both"/>
        <w:rPr>
          <w:color w:val="000000"/>
          <w:lang w:val="id-ID" w:eastAsia="id-ID"/>
        </w:rPr>
      </w:pPr>
    </w:p>
    <w:p w:rsidR="00086CC2" w:rsidRPr="00027898" w:rsidRDefault="00086CC2" w:rsidP="00027898">
      <w:pPr>
        <w:spacing w:line="360" w:lineRule="auto"/>
        <w:jc w:val="both"/>
        <w:rPr>
          <w:lang w:val="id-ID"/>
        </w:rPr>
      </w:pPr>
    </w:p>
    <w:p w:rsidR="00AD2C19" w:rsidRPr="00AD2C19" w:rsidRDefault="00AD2C19" w:rsidP="00AD2C19">
      <w:pPr>
        <w:rPr>
          <w:lang w:val="id-ID" w:eastAsia="id-ID"/>
        </w:rPr>
      </w:pPr>
    </w:p>
    <w:p w:rsidR="00AD2C19" w:rsidRPr="00AD2C19" w:rsidRDefault="00AD2C19" w:rsidP="00AD2C19">
      <w:pPr>
        <w:rPr>
          <w:lang w:val="id-ID" w:eastAsia="id-ID"/>
        </w:rPr>
      </w:pPr>
    </w:p>
    <w:p w:rsidR="00AD2C19" w:rsidRPr="00AD2C19" w:rsidRDefault="00AD2C19" w:rsidP="00AD2C19">
      <w:pPr>
        <w:rPr>
          <w:lang w:val="id-ID" w:eastAsia="id-ID"/>
        </w:rPr>
      </w:pPr>
    </w:p>
    <w:p w:rsidR="00AD2C19" w:rsidRDefault="00AD2C19" w:rsidP="00AD2C19">
      <w:pPr>
        <w:rPr>
          <w:b/>
          <w:bCs/>
          <w:i/>
          <w:iCs/>
          <w:color w:val="000000"/>
          <w:lang w:val="id-ID"/>
        </w:rPr>
      </w:pPr>
    </w:p>
    <w:p w:rsidR="00F9333A" w:rsidRDefault="00F9333A" w:rsidP="00AD2C19">
      <w:pPr>
        <w:rPr>
          <w:b/>
          <w:bCs/>
          <w:i/>
          <w:iCs/>
          <w:color w:val="000000"/>
          <w:lang w:val="id-ID"/>
        </w:rPr>
      </w:pPr>
    </w:p>
    <w:p w:rsidR="0082492E" w:rsidRDefault="0082492E" w:rsidP="00AD2C19">
      <w:pPr>
        <w:rPr>
          <w:b/>
          <w:bCs/>
          <w:i/>
          <w:iCs/>
          <w:color w:val="000000"/>
          <w:lang w:val="id-ID"/>
        </w:rPr>
      </w:pPr>
    </w:p>
    <w:p w:rsidR="0082492E" w:rsidRDefault="0082492E" w:rsidP="00AD2C19">
      <w:pPr>
        <w:rPr>
          <w:b/>
          <w:bCs/>
          <w:i/>
          <w:iCs/>
          <w:color w:val="000000"/>
          <w:lang w:val="id-ID"/>
        </w:rPr>
      </w:pPr>
    </w:p>
    <w:p w:rsidR="0082492E" w:rsidRDefault="0082492E" w:rsidP="00AD2C19">
      <w:pPr>
        <w:rPr>
          <w:b/>
          <w:bCs/>
          <w:i/>
          <w:iCs/>
          <w:color w:val="000000"/>
          <w:lang w:val="id-ID"/>
        </w:rPr>
      </w:pPr>
    </w:p>
    <w:p w:rsidR="0082492E" w:rsidRDefault="0082492E" w:rsidP="00AD2C19">
      <w:pPr>
        <w:rPr>
          <w:b/>
          <w:bCs/>
          <w:i/>
          <w:iCs/>
          <w:color w:val="000000"/>
          <w:lang w:val="id-ID"/>
        </w:rPr>
      </w:pPr>
    </w:p>
    <w:p w:rsidR="00F9333A" w:rsidRDefault="00F9333A" w:rsidP="00AD2C19">
      <w:pPr>
        <w:rPr>
          <w:b/>
          <w:bCs/>
          <w:i/>
          <w:iCs/>
          <w:color w:val="000000"/>
          <w:lang w:val="id-ID"/>
        </w:rPr>
      </w:pPr>
    </w:p>
    <w:p w:rsidR="00F9333A" w:rsidRDefault="00F9333A" w:rsidP="00AD2C19">
      <w:pPr>
        <w:rPr>
          <w:b/>
          <w:bCs/>
          <w:i/>
          <w:iCs/>
          <w:color w:val="000000"/>
          <w:lang w:val="id-ID"/>
        </w:rPr>
      </w:pPr>
    </w:p>
    <w:p w:rsidR="00F9333A" w:rsidRDefault="00F9333A" w:rsidP="00AD2C19">
      <w:pPr>
        <w:rPr>
          <w:b/>
          <w:bCs/>
          <w:i/>
          <w:iCs/>
          <w:color w:val="000000"/>
          <w:lang w:val="id-ID"/>
        </w:rPr>
      </w:pPr>
    </w:p>
    <w:p w:rsidR="007F089D" w:rsidRDefault="007F089D" w:rsidP="00E25A1B">
      <w:pPr>
        <w:rPr>
          <w:b/>
          <w:bCs/>
          <w:iCs/>
          <w:color w:val="000000"/>
          <w:lang w:val="id-ID"/>
        </w:rPr>
      </w:pPr>
    </w:p>
    <w:p w:rsidR="007F089D" w:rsidRPr="00E3164E" w:rsidRDefault="007F089D" w:rsidP="007F089D">
      <w:pPr>
        <w:spacing w:after="200" w:line="276" w:lineRule="auto"/>
        <w:jc w:val="center"/>
        <w:rPr>
          <w:bCs/>
        </w:rPr>
      </w:pPr>
      <w:r w:rsidRPr="00E3164E">
        <w:rPr>
          <w:bCs/>
        </w:rPr>
        <w:t xml:space="preserve">Gambar </w:t>
      </w:r>
      <w:proofErr w:type="gramStart"/>
      <w:r w:rsidRPr="00E3164E">
        <w:rPr>
          <w:bCs/>
        </w:rPr>
        <w:t>1 :</w:t>
      </w:r>
      <w:proofErr w:type="gramEnd"/>
      <w:r w:rsidRPr="00E3164E">
        <w:rPr>
          <w:bCs/>
        </w:rPr>
        <w:t xml:space="preserve"> Perkembangan dan Pertumbuhan BUS, USS dan BPRS</w:t>
      </w:r>
    </w:p>
    <w:p w:rsidR="007F089D" w:rsidRDefault="007F089D" w:rsidP="007F089D">
      <w:pPr>
        <w:spacing w:line="360" w:lineRule="auto"/>
        <w:ind w:firstLine="720"/>
        <w:jc w:val="both"/>
        <w:rPr>
          <w:color w:val="000000"/>
          <w:lang w:val="id-ID"/>
        </w:rPr>
      </w:pPr>
      <w:r w:rsidRPr="00872F7B">
        <w:rPr>
          <w:color w:val="000000"/>
        </w:rPr>
        <w:t xml:space="preserve">Berdasarkan diagram di atas, dapat diketahui dan dilihat bahwa dari sektor kelembagaannya apabila dilihat dari BUS (Bank Umum Syariah) mulai tahun 2007 sampai </w:t>
      </w:r>
      <w:r w:rsidRPr="00872F7B">
        <w:rPr>
          <w:color w:val="000000"/>
        </w:rPr>
        <w:lastRenderedPageBreak/>
        <w:t>2017 pertumbuhan perbankan syariah mengalami peningkatan walaupun peningkatannya tidak terlalu</w:t>
      </w:r>
      <w:r>
        <w:rPr>
          <w:color w:val="000000"/>
          <w:lang w:val="id-ID"/>
        </w:rPr>
        <w:t xml:space="preserve"> </w:t>
      </w:r>
      <w:r w:rsidRPr="00872F7B">
        <w:rPr>
          <w:color w:val="000000"/>
        </w:rPr>
        <w:t xml:space="preserve">tinggi. Pada tahun 2007 jumlah BUS hanya 3, tahun 2008 menjadi 5 atau 66,6%, tahun 2009 berjumlah 6 atau 20%, kenaikan tinggi tahun 2010 dan tetap stabil sampai 2013 berjumlah 11 atau 83,4%, tahun 2014 sampai 2015 naik menjadi 12 atau 9,03% dan yang terakhir tahun 2016 sampai 2017 bertambah lagi menjadi 13 atau 8,3%. </w:t>
      </w:r>
    </w:p>
    <w:p w:rsidR="000F6954" w:rsidRPr="00872F7B" w:rsidRDefault="000F6954" w:rsidP="000F6954">
      <w:pPr>
        <w:spacing w:line="360" w:lineRule="auto"/>
        <w:ind w:firstLine="720"/>
        <w:jc w:val="both"/>
        <w:rPr>
          <w:color w:val="000000"/>
        </w:rPr>
      </w:pPr>
      <w:r w:rsidRPr="00872F7B">
        <w:rPr>
          <w:color w:val="000000"/>
        </w:rPr>
        <w:t>Sedangkan USS (</w:t>
      </w:r>
      <w:r>
        <w:t xml:space="preserve">Unit Usaha Syariah) </w:t>
      </w:r>
      <w:r w:rsidRPr="00872F7B">
        <w:rPr>
          <w:color w:val="000000"/>
        </w:rPr>
        <w:t xml:space="preserve">mengalami fluktuasi, dimana tahun 2007 mengalami kenaikan dari tahun sebelumnya yaitu berjumlah 26 atau 30% , jumlah tertinggi pada tahun 2008 yaitu 27 atau 3,84%, pada tahun 2009 menurun menjadi 25 atau 7,4%, pada tahun 2010 dan 2011 mengalami penurunan kembali dengan jumlah 23 atau 8%, kembali naik pada tahun 2012 menjadi 24 atau 4,34%, tetapi pada tahun 2013 turun menjadi 23 atau 4,16%, pada tahun 2014 dan 2015 mengalami penurunan kembali menjadi 22 atau 4,34% dan terakhir jumlah USS turun kembali pada tahun 2016 dan 2017 menjadi 21 atau 4,54% . </w:t>
      </w:r>
    </w:p>
    <w:p w:rsidR="000F6954" w:rsidRDefault="000F6954" w:rsidP="000F6954">
      <w:pPr>
        <w:spacing w:line="360" w:lineRule="auto"/>
        <w:ind w:firstLine="720"/>
        <w:jc w:val="both"/>
        <w:rPr>
          <w:color w:val="000000"/>
          <w:lang w:val="id-ID"/>
        </w:rPr>
      </w:pPr>
      <w:r w:rsidRPr="00872F7B">
        <w:rPr>
          <w:color w:val="000000"/>
        </w:rPr>
        <w:t>Jumlah BPRS (</w:t>
      </w:r>
      <w:r>
        <w:t>Bank Pembiayaan Rakyat Syariah)</w:t>
      </w:r>
      <w:r w:rsidRPr="00872F7B">
        <w:rPr>
          <w:color w:val="000000"/>
        </w:rPr>
        <w:t xml:space="preserve"> mulai dari tahun 2007 sampai tahun 2017 mengalami peningkatan yang sangat baik, pada tahun 2007 BPRS berjumlah 114 pertumbuhan naik dengan tingkat rata-rata 8,57% dari tahun sebelumya. Pada tahun 2008 BPRS mengalami kenaikan menjadi 131 atau 14</w:t>
      </w:r>
      <w:proofErr w:type="gramStart"/>
      <w:r w:rsidRPr="00872F7B">
        <w:rPr>
          <w:color w:val="000000"/>
        </w:rPr>
        <w:t>,91</w:t>
      </w:r>
      <w:proofErr w:type="gramEnd"/>
      <w:r w:rsidRPr="00872F7B">
        <w:rPr>
          <w:color w:val="000000"/>
        </w:rPr>
        <w:t>%. Pada tahun 2009 pertumbuhan BPRS mengalami kenaikan 138 atau 5</w:t>
      </w:r>
      <w:proofErr w:type="gramStart"/>
      <w:r w:rsidRPr="00872F7B">
        <w:rPr>
          <w:color w:val="000000"/>
        </w:rPr>
        <w:t>,34</w:t>
      </w:r>
      <w:proofErr w:type="gramEnd"/>
      <w:r w:rsidRPr="00872F7B">
        <w:rPr>
          <w:color w:val="000000"/>
        </w:rPr>
        <w:t>%. Pada tahun tahun 2010 pertumbuhan BPRS naik menjadi 150 atau 8</w:t>
      </w:r>
      <w:proofErr w:type="gramStart"/>
      <w:r w:rsidRPr="00872F7B">
        <w:rPr>
          <w:color w:val="000000"/>
        </w:rPr>
        <w:t>,69</w:t>
      </w:r>
      <w:proofErr w:type="gramEnd"/>
      <w:r w:rsidRPr="00872F7B">
        <w:rPr>
          <w:color w:val="000000"/>
        </w:rPr>
        <w:t>%. Pada tahun 2011 pertumbuhan BPRS naik menjadi 155 atau 3</w:t>
      </w:r>
      <w:proofErr w:type="gramStart"/>
      <w:r w:rsidRPr="00872F7B">
        <w:rPr>
          <w:color w:val="000000"/>
        </w:rPr>
        <w:t>,33</w:t>
      </w:r>
      <w:proofErr w:type="gramEnd"/>
      <w:r w:rsidRPr="00872F7B">
        <w:rPr>
          <w:color w:val="000000"/>
        </w:rPr>
        <w:t>%. Pada tahun 2012 pertumbuhan BPRS naik sebanyak 158 atau 1</w:t>
      </w:r>
      <w:proofErr w:type="gramStart"/>
      <w:r w:rsidRPr="00872F7B">
        <w:rPr>
          <w:color w:val="000000"/>
        </w:rPr>
        <w:t>,93</w:t>
      </w:r>
      <w:proofErr w:type="gramEnd"/>
      <w:r w:rsidRPr="00872F7B">
        <w:rPr>
          <w:color w:val="000000"/>
        </w:rPr>
        <w:t>%. Pertumbuhan BPRS naik sebanyak 163 dari tahun 2013, 2014 dan 2015 atau 3</w:t>
      </w:r>
      <w:proofErr w:type="gramStart"/>
      <w:r w:rsidRPr="00872F7B">
        <w:rPr>
          <w:color w:val="000000"/>
        </w:rPr>
        <w:t>,16</w:t>
      </w:r>
      <w:proofErr w:type="gramEnd"/>
      <w:r w:rsidRPr="00872F7B">
        <w:rPr>
          <w:color w:val="000000"/>
        </w:rPr>
        <w:t>%. Pada tahun 2016 pertumbuhan BPRS naik sebanyak 166 atau 1</w:t>
      </w:r>
      <w:proofErr w:type="gramStart"/>
      <w:r w:rsidRPr="00872F7B">
        <w:rPr>
          <w:color w:val="000000"/>
        </w:rPr>
        <w:t>,84</w:t>
      </w:r>
      <w:proofErr w:type="gramEnd"/>
      <w:r w:rsidRPr="00872F7B">
        <w:rPr>
          <w:color w:val="000000"/>
        </w:rPr>
        <w:t>%. Dan yang terakhir pada tahun 2017 pertumbuhan BPRS naik sebanyak 167 atau 0</w:t>
      </w:r>
      <w:proofErr w:type="gramStart"/>
      <w:r w:rsidRPr="00872F7B">
        <w:rPr>
          <w:color w:val="000000"/>
        </w:rPr>
        <w:t>,60</w:t>
      </w:r>
      <w:proofErr w:type="gramEnd"/>
      <w:r w:rsidRPr="00872F7B">
        <w:rPr>
          <w:color w:val="000000"/>
        </w:rPr>
        <w:t xml:space="preserve">%. </w:t>
      </w:r>
    </w:p>
    <w:p w:rsidR="00132DAE" w:rsidRPr="00132DAE" w:rsidRDefault="00132DAE" w:rsidP="000F6954">
      <w:pPr>
        <w:spacing w:line="360" w:lineRule="auto"/>
        <w:ind w:firstLine="720"/>
        <w:jc w:val="both"/>
        <w:rPr>
          <w:color w:val="000000"/>
          <w:sz w:val="12"/>
          <w:lang w:val="id-ID"/>
        </w:rPr>
      </w:pPr>
    </w:p>
    <w:p w:rsidR="000F6954" w:rsidRPr="000F6954" w:rsidRDefault="00132DAE" w:rsidP="00132DAE">
      <w:pPr>
        <w:spacing w:line="360" w:lineRule="auto"/>
        <w:jc w:val="center"/>
        <w:rPr>
          <w:color w:val="000000"/>
          <w:lang w:val="id-ID"/>
        </w:rPr>
      </w:pPr>
      <w:r>
        <w:rPr>
          <w:noProof/>
          <w:color w:val="000000"/>
          <w:lang w:eastAsia="id-ID"/>
        </w:rPr>
        <w:drawing>
          <wp:inline distT="0" distB="0" distL="0" distR="0" wp14:anchorId="0D33414E" wp14:editId="025D0C34">
            <wp:extent cx="5076825" cy="2028825"/>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32DAE" w:rsidRDefault="00132DAE" w:rsidP="00132DAE">
      <w:pPr>
        <w:jc w:val="center"/>
        <w:rPr>
          <w:bCs/>
          <w:lang w:val="id-ID"/>
        </w:rPr>
      </w:pPr>
      <w:r>
        <w:rPr>
          <w:bCs/>
        </w:rPr>
        <w:t xml:space="preserve">Gambar </w:t>
      </w:r>
      <w:proofErr w:type="gramStart"/>
      <w:r>
        <w:rPr>
          <w:bCs/>
        </w:rPr>
        <w:t>2</w:t>
      </w:r>
      <w:r w:rsidRPr="00E3164E">
        <w:rPr>
          <w:bCs/>
        </w:rPr>
        <w:t xml:space="preserve"> :</w:t>
      </w:r>
      <w:proofErr w:type="gramEnd"/>
      <w:r w:rsidRPr="00E3164E">
        <w:rPr>
          <w:bCs/>
        </w:rPr>
        <w:t xml:space="preserve"> Perkembangan d</w:t>
      </w:r>
      <w:r>
        <w:rPr>
          <w:bCs/>
        </w:rPr>
        <w:t>an Pertumbuhan Jaringan Kantor</w:t>
      </w:r>
      <w:r>
        <w:rPr>
          <w:bCs/>
          <w:lang w:val="id-ID"/>
        </w:rPr>
        <w:t xml:space="preserve"> tahun 2007 sampai </w:t>
      </w:r>
    </w:p>
    <w:p w:rsidR="00132DAE" w:rsidRPr="00132DAE" w:rsidRDefault="00132DAE" w:rsidP="00132DAE">
      <w:pPr>
        <w:jc w:val="center"/>
        <w:rPr>
          <w:bCs/>
          <w:lang w:val="id-ID"/>
        </w:rPr>
      </w:pPr>
      <w:r>
        <w:rPr>
          <w:bCs/>
          <w:lang w:val="id-ID"/>
        </w:rPr>
        <w:t>dengan 2017</w:t>
      </w:r>
    </w:p>
    <w:p w:rsidR="00007E58" w:rsidRDefault="00007E58" w:rsidP="00007E58">
      <w:pPr>
        <w:spacing w:line="360" w:lineRule="auto"/>
        <w:ind w:firstLine="720"/>
        <w:jc w:val="both"/>
        <w:rPr>
          <w:color w:val="000000"/>
          <w:lang w:val="id-ID"/>
        </w:rPr>
      </w:pPr>
      <w:r w:rsidRPr="00872F7B">
        <w:rPr>
          <w:bCs/>
          <w:color w:val="000000"/>
        </w:rPr>
        <w:lastRenderedPageBreak/>
        <w:t xml:space="preserve">Berdasarkan diagram di atas, dapat diketahui dan dilihat bahwa pertumbuhan jumlah jaringan </w:t>
      </w:r>
      <w:proofErr w:type="gramStart"/>
      <w:r w:rsidRPr="00872F7B">
        <w:rPr>
          <w:bCs/>
          <w:color w:val="000000"/>
        </w:rPr>
        <w:t>kantor</w:t>
      </w:r>
      <w:proofErr w:type="gramEnd"/>
      <w:r w:rsidRPr="00EE0449">
        <w:rPr>
          <w:bCs/>
          <w:color w:val="FF0000"/>
        </w:rPr>
        <w:t xml:space="preserve"> </w:t>
      </w:r>
      <w:r w:rsidRPr="00872F7B">
        <w:rPr>
          <w:bCs/>
          <w:color w:val="000000"/>
        </w:rPr>
        <w:t xml:space="preserve">perbankan syariah </w:t>
      </w:r>
      <w:r w:rsidRPr="00872F7B">
        <w:rPr>
          <w:color w:val="000000"/>
        </w:rPr>
        <w:t xml:space="preserve">mulai tahun 2007 sampai 2017 </w:t>
      </w:r>
      <w:r w:rsidRPr="00872F7B">
        <w:rPr>
          <w:bCs/>
          <w:color w:val="000000"/>
        </w:rPr>
        <w:t>berfluktuasi.</w:t>
      </w:r>
      <w:r w:rsidRPr="00EE0449">
        <w:rPr>
          <w:bCs/>
          <w:color w:val="FF0000"/>
        </w:rPr>
        <w:t xml:space="preserve"> </w:t>
      </w:r>
      <w:r w:rsidRPr="00872F7B">
        <w:rPr>
          <w:color w:val="000000"/>
        </w:rPr>
        <w:t>Pada tahun 2007 jumlah jaringan kantor perbankan syariah sebanyak 782 naik sebesar 22</w:t>
      </w:r>
      <w:proofErr w:type="gramStart"/>
      <w:r w:rsidRPr="00872F7B">
        <w:rPr>
          <w:color w:val="000000"/>
        </w:rPr>
        <w:t>,76</w:t>
      </w:r>
      <w:proofErr w:type="gramEnd"/>
      <w:r w:rsidRPr="00872F7B">
        <w:rPr>
          <w:color w:val="000000"/>
        </w:rPr>
        <w:t>% dari tahun sebelumnya. Pada tahun 2008 jumlah jaringan kantor perbankan syariah naik menjadi 1024 atau 30</w:t>
      </w:r>
      <w:proofErr w:type="gramStart"/>
      <w:r w:rsidRPr="00872F7B">
        <w:rPr>
          <w:color w:val="000000"/>
        </w:rPr>
        <w:t>,9</w:t>
      </w:r>
      <w:proofErr w:type="gramEnd"/>
      <w:r w:rsidRPr="00872F7B">
        <w:rPr>
          <w:color w:val="000000"/>
        </w:rPr>
        <w:t>%. Pada tahun 2009 jumlah jaringan kantor perbankan syariah naik menjadi 1223 atau 19</w:t>
      </w:r>
      <w:proofErr w:type="gramStart"/>
      <w:r w:rsidRPr="00872F7B">
        <w:rPr>
          <w:color w:val="000000"/>
        </w:rPr>
        <w:t>,43</w:t>
      </w:r>
      <w:proofErr w:type="gramEnd"/>
      <w:r w:rsidRPr="00872F7B">
        <w:rPr>
          <w:color w:val="000000"/>
        </w:rPr>
        <w:t>%. Pada tahun 2010 jumlah jaringan kantor perbankan syariah naik menjadi 1763 atau 44</w:t>
      </w:r>
      <w:proofErr w:type="gramStart"/>
      <w:r w:rsidRPr="00872F7B">
        <w:rPr>
          <w:color w:val="000000"/>
        </w:rPr>
        <w:t>,15</w:t>
      </w:r>
      <w:proofErr w:type="gramEnd"/>
      <w:r w:rsidRPr="00872F7B">
        <w:rPr>
          <w:color w:val="000000"/>
        </w:rPr>
        <w:t>%. Pada tahun 2011 jumlah jaringan kantor perbankan syariah naik menjadi 2101 atau 19</w:t>
      </w:r>
      <w:proofErr w:type="gramStart"/>
      <w:r w:rsidRPr="00872F7B">
        <w:rPr>
          <w:color w:val="000000"/>
        </w:rPr>
        <w:t>,17</w:t>
      </w:r>
      <w:proofErr w:type="gramEnd"/>
      <w:r w:rsidRPr="00872F7B">
        <w:rPr>
          <w:color w:val="000000"/>
        </w:rPr>
        <w:t>%. Pada tahun 2012 jumlah jaringan kantor perbankan syariah naik menjadi 2663 atau 26</w:t>
      </w:r>
      <w:proofErr w:type="gramStart"/>
      <w:r w:rsidRPr="00872F7B">
        <w:rPr>
          <w:color w:val="000000"/>
        </w:rPr>
        <w:t>,74</w:t>
      </w:r>
      <w:proofErr w:type="gramEnd"/>
      <w:r w:rsidRPr="00872F7B">
        <w:rPr>
          <w:color w:val="000000"/>
        </w:rPr>
        <w:t>%. Pada tahun 2013 jumlah jaringan kantor perbankan syariah naik menjadi 2990 atau 12</w:t>
      </w:r>
      <w:proofErr w:type="gramStart"/>
      <w:r w:rsidRPr="00872F7B">
        <w:rPr>
          <w:color w:val="000000"/>
        </w:rPr>
        <w:t>,27</w:t>
      </w:r>
      <w:proofErr w:type="gramEnd"/>
      <w:r w:rsidRPr="00872F7B">
        <w:rPr>
          <w:color w:val="000000"/>
        </w:rPr>
        <w:t>%. Pada tahun 2014 jumlah jaringan kantor perbankan syariah mengalami penurunan menjadi 2910 atau 2</w:t>
      </w:r>
      <w:proofErr w:type="gramStart"/>
      <w:r w:rsidRPr="00872F7B">
        <w:rPr>
          <w:color w:val="000000"/>
        </w:rPr>
        <w:t>,7</w:t>
      </w:r>
      <w:proofErr w:type="gramEnd"/>
      <w:r w:rsidRPr="00872F7B">
        <w:rPr>
          <w:color w:val="000000"/>
        </w:rPr>
        <w:t>%. Pada tahun 2015 jumlah jaringan kantor perbankan syariah mengalami penurunan menjadi 2747 atau 5</w:t>
      </w:r>
      <w:proofErr w:type="gramStart"/>
      <w:r w:rsidRPr="00872F7B">
        <w:rPr>
          <w:color w:val="000000"/>
        </w:rPr>
        <w:t>,9</w:t>
      </w:r>
      <w:proofErr w:type="gramEnd"/>
      <w:r w:rsidRPr="00872F7B">
        <w:rPr>
          <w:color w:val="000000"/>
        </w:rPr>
        <w:t>%. Pada tahun 2016 jumlah jaringan kantor perbankan syariah mengalami penurunan menjadi 2654 atau 3</w:t>
      </w:r>
      <w:proofErr w:type="gramStart"/>
      <w:r w:rsidRPr="00872F7B">
        <w:rPr>
          <w:color w:val="000000"/>
        </w:rPr>
        <w:t>,5</w:t>
      </w:r>
      <w:proofErr w:type="gramEnd"/>
      <w:r w:rsidRPr="00872F7B">
        <w:rPr>
          <w:color w:val="000000"/>
        </w:rPr>
        <w:t>%. Pada tahun 2017 jumlah jaringan kantor perbankan syariah mengalami penurunan menjadi 2610 atau 1</w:t>
      </w:r>
      <w:proofErr w:type="gramStart"/>
      <w:r w:rsidRPr="00872F7B">
        <w:rPr>
          <w:color w:val="000000"/>
        </w:rPr>
        <w:t>,65</w:t>
      </w:r>
      <w:proofErr w:type="gramEnd"/>
      <w:r w:rsidRPr="00872F7B">
        <w:rPr>
          <w:color w:val="000000"/>
        </w:rPr>
        <w:t>%.</w:t>
      </w:r>
    </w:p>
    <w:p w:rsidR="00007E58" w:rsidRPr="00007E58" w:rsidRDefault="00365DC3" w:rsidP="00007E58">
      <w:pPr>
        <w:spacing w:line="360" w:lineRule="auto"/>
        <w:ind w:firstLine="720"/>
        <w:jc w:val="both"/>
        <w:rPr>
          <w:color w:val="000000"/>
          <w:lang w:val="id-ID"/>
        </w:rPr>
      </w:pPr>
      <w:r>
        <w:rPr>
          <w:noProof/>
          <w:lang w:eastAsia="id-ID"/>
        </w:rPr>
        <w:drawing>
          <wp:anchor distT="0" distB="0" distL="114300" distR="114300" simplePos="0" relativeHeight="251660288" behindDoc="1" locked="0" layoutInCell="1" allowOverlap="1" wp14:anchorId="46A9E994" wp14:editId="7F729F91">
            <wp:simplePos x="0" y="0"/>
            <wp:positionH relativeFrom="column">
              <wp:posOffset>72816</wp:posOffset>
            </wp:positionH>
            <wp:positionV relativeFrom="paragraph">
              <wp:posOffset>196850</wp:posOffset>
            </wp:positionV>
            <wp:extent cx="5505024" cy="3295650"/>
            <wp:effectExtent l="0" t="0" r="635" b="0"/>
            <wp:wrapNone/>
            <wp:docPr id="4"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7F089D" w:rsidRPr="007F089D" w:rsidRDefault="007F089D" w:rsidP="007F089D">
      <w:pPr>
        <w:spacing w:line="360" w:lineRule="auto"/>
        <w:ind w:firstLine="720"/>
        <w:jc w:val="both"/>
        <w:rPr>
          <w:b/>
          <w:bCs/>
          <w:iCs/>
          <w:color w:val="000000"/>
          <w:lang w:val="id-ID"/>
        </w:rPr>
      </w:pPr>
    </w:p>
    <w:p w:rsidR="007F089D" w:rsidRDefault="007F089D" w:rsidP="00E25A1B">
      <w:pPr>
        <w:rPr>
          <w:b/>
          <w:bCs/>
          <w:iCs/>
          <w:color w:val="000000"/>
          <w:lang w:val="id-ID"/>
        </w:rPr>
      </w:pPr>
    </w:p>
    <w:p w:rsidR="007F089D" w:rsidRDefault="007F089D" w:rsidP="00E25A1B">
      <w:pPr>
        <w:rPr>
          <w:b/>
          <w:bCs/>
          <w:iCs/>
          <w:color w:val="000000"/>
          <w:lang w:val="id-ID"/>
        </w:rPr>
      </w:pPr>
    </w:p>
    <w:p w:rsidR="007F089D" w:rsidRDefault="007F089D" w:rsidP="00E25A1B">
      <w:pPr>
        <w:rPr>
          <w:b/>
          <w:bCs/>
          <w:iCs/>
          <w:color w:val="000000"/>
          <w:lang w:val="id-ID"/>
        </w:rPr>
      </w:pPr>
    </w:p>
    <w:p w:rsidR="007F089D" w:rsidRDefault="007F089D" w:rsidP="00E25A1B">
      <w:pPr>
        <w:rPr>
          <w:b/>
          <w:bCs/>
          <w:iCs/>
          <w:color w:val="000000"/>
          <w:lang w:val="id-ID"/>
        </w:rPr>
      </w:pPr>
    </w:p>
    <w:p w:rsidR="007F089D" w:rsidRDefault="007F089D" w:rsidP="00E25A1B">
      <w:pPr>
        <w:rPr>
          <w:b/>
          <w:bCs/>
          <w:iCs/>
          <w:color w:val="000000"/>
          <w:lang w:val="id-ID"/>
        </w:rPr>
      </w:pPr>
    </w:p>
    <w:p w:rsidR="007F089D" w:rsidRDefault="007F089D" w:rsidP="00E25A1B">
      <w:pPr>
        <w:rPr>
          <w:b/>
          <w:bCs/>
          <w:iCs/>
          <w:color w:val="000000"/>
          <w:lang w:val="id-ID"/>
        </w:rPr>
      </w:pPr>
    </w:p>
    <w:p w:rsidR="007F089D" w:rsidRDefault="007F089D" w:rsidP="00E25A1B">
      <w:pPr>
        <w:rPr>
          <w:b/>
          <w:bCs/>
          <w:iCs/>
          <w:color w:val="000000"/>
          <w:lang w:val="id-ID"/>
        </w:rPr>
      </w:pPr>
    </w:p>
    <w:p w:rsidR="007F089D" w:rsidRDefault="007F089D" w:rsidP="00E25A1B">
      <w:pPr>
        <w:rPr>
          <w:b/>
          <w:bCs/>
          <w:iCs/>
          <w:color w:val="000000"/>
          <w:lang w:val="id-ID"/>
        </w:rPr>
      </w:pPr>
    </w:p>
    <w:p w:rsidR="007F089D" w:rsidRDefault="007F089D" w:rsidP="00E25A1B">
      <w:pPr>
        <w:rPr>
          <w:b/>
          <w:bCs/>
          <w:iCs/>
          <w:color w:val="000000"/>
          <w:lang w:val="id-ID"/>
        </w:rPr>
      </w:pPr>
    </w:p>
    <w:p w:rsidR="007F089D" w:rsidRDefault="007F089D" w:rsidP="00E25A1B">
      <w:pPr>
        <w:rPr>
          <w:b/>
          <w:bCs/>
          <w:iCs/>
          <w:color w:val="000000"/>
          <w:lang w:val="id-ID"/>
        </w:rPr>
      </w:pPr>
    </w:p>
    <w:p w:rsidR="007F089D" w:rsidRDefault="007F089D" w:rsidP="00E25A1B">
      <w:pPr>
        <w:rPr>
          <w:b/>
          <w:bCs/>
          <w:iCs/>
          <w:color w:val="000000"/>
          <w:lang w:val="id-ID"/>
        </w:rPr>
      </w:pPr>
    </w:p>
    <w:p w:rsidR="007F089D" w:rsidRDefault="007F089D" w:rsidP="00E25A1B">
      <w:pPr>
        <w:rPr>
          <w:b/>
          <w:bCs/>
          <w:iCs/>
          <w:color w:val="000000"/>
          <w:lang w:val="id-ID"/>
        </w:rPr>
      </w:pPr>
    </w:p>
    <w:p w:rsidR="007F089D" w:rsidRDefault="007F089D" w:rsidP="00E25A1B">
      <w:pPr>
        <w:rPr>
          <w:b/>
          <w:bCs/>
          <w:iCs/>
          <w:color w:val="000000"/>
          <w:lang w:val="id-ID"/>
        </w:rPr>
      </w:pPr>
    </w:p>
    <w:p w:rsidR="007F089D" w:rsidRDefault="007F089D" w:rsidP="00E25A1B">
      <w:pPr>
        <w:rPr>
          <w:b/>
          <w:bCs/>
          <w:iCs/>
          <w:color w:val="000000"/>
          <w:lang w:val="id-ID"/>
        </w:rPr>
      </w:pPr>
    </w:p>
    <w:p w:rsidR="007F089D" w:rsidRDefault="007F089D" w:rsidP="00E25A1B">
      <w:pPr>
        <w:rPr>
          <w:b/>
          <w:bCs/>
          <w:iCs/>
          <w:color w:val="000000"/>
          <w:lang w:val="id-ID"/>
        </w:rPr>
      </w:pPr>
    </w:p>
    <w:p w:rsidR="007F089D" w:rsidRDefault="007F089D" w:rsidP="00E25A1B">
      <w:pPr>
        <w:rPr>
          <w:b/>
          <w:bCs/>
          <w:iCs/>
          <w:color w:val="000000"/>
          <w:lang w:val="id-ID"/>
        </w:rPr>
      </w:pPr>
    </w:p>
    <w:p w:rsidR="007F089D" w:rsidRDefault="007F089D" w:rsidP="00E25A1B">
      <w:pPr>
        <w:rPr>
          <w:b/>
          <w:bCs/>
          <w:iCs/>
          <w:color w:val="000000"/>
          <w:lang w:val="id-ID"/>
        </w:rPr>
      </w:pPr>
    </w:p>
    <w:p w:rsidR="00365DC3" w:rsidRPr="00E3164E" w:rsidRDefault="00365DC3" w:rsidP="00365DC3">
      <w:pPr>
        <w:spacing w:after="200" w:line="276" w:lineRule="auto"/>
        <w:jc w:val="center"/>
        <w:rPr>
          <w:bCs/>
        </w:rPr>
      </w:pPr>
      <w:r>
        <w:rPr>
          <w:bCs/>
        </w:rPr>
        <w:t xml:space="preserve">Gambar </w:t>
      </w:r>
      <w:proofErr w:type="gramStart"/>
      <w:r>
        <w:rPr>
          <w:bCs/>
        </w:rPr>
        <w:t>3</w:t>
      </w:r>
      <w:r w:rsidRPr="00E3164E">
        <w:rPr>
          <w:bCs/>
        </w:rPr>
        <w:t xml:space="preserve"> :</w:t>
      </w:r>
      <w:proofErr w:type="gramEnd"/>
      <w:r w:rsidRPr="00E3164E">
        <w:rPr>
          <w:bCs/>
        </w:rPr>
        <w:t xml:space="preserve"> Perkembangan d</w:t>
      </w:r>
      <w:r>
        <w:rPr>
          <w:bCs/>
        </w:rPr>
        <w:t xml:space="preserve">an Pertumbuhan Aset, DPK dan PYD </w:t>
      </w:r>
    </w:p>
    <w:p w:rsidR="009B0DD2" w:rsidRDefault="009B0DD2" w:rsidP="009B0DD2">
      <w:pPr>
        <w:spacing w:line="360" w:lineRule="auto"/>
        <w:ind w:firstLine="720"/>
        <w:jc w:val="both"/>
        <w:rPr>
          <w:bCs/>
          <w:lang w:val="id-ID"/>
        </w:rPr>
      </w:pPr>
      <w:r>
        <w:rPr>
          <w:bCs/>
        </w:rPr>
        <w:t xml:space="preserve">Apabila ditinjau dari </w:t>
      </w:r>
      <w:r w:rsidRPr="00BC42E6">
        <w:rPr>
          <w:bCs/>
        </w:rPr>
        <w:t>penghimpunan</w:t>
      </w:r>
      <w:r>
        <w:rPr>
          <w:bCs/>
        </w:rPr>
        <w:t xml:space="preserve"> </w:t>
      </w:r>
      <w:r w:rsidRPr="00BC42E6">
        <w:rPr>
          <w:bCs/>
        </w:rPr>
        <w:t xml:space="preserve">dan penyaluran </w:t>
      </w:r>
      <w:proofErr w:type="gramStart"/>
      <w:r w:rsidRPr="00BC42E6">
        <w:rPr>
          <w:bCs/>
        </w:rPr>
        <w:t>dana</w:t>
      </w:r>
      <w:proofErr w:type="gramEnd"/>
      <w:r w:rsidRPr="00BC42E6">
        <w:rPr>
          <w:bCs/>
        </w:rPr>
        <w:t>,</w:t>
      </w:r>
      <w:r>
        <w:rPr>
          <w:bCs/>
        </w:rPr>
        <w:t xml:space="preserve"> </w:t>
      </w:r>
      <w:r w:rsidRPr="00BC42E6">
        <w:rPr>
          <w:bCs/>
        </w:rPr>
        <w:t>perbankan syariah di Indonesia</w:t>
      </w:r>
      <w:r>
        <w:rPr>
          <w:bCs/>
        </w:rPr>
        <w:t xml:space="preserve"> selalu memperlihatkan kinerja yang terus meningkat. </w:t>
      </w:r>
      <w:proofErr w:type="gramStart"/>
      <w:r>
        <w:rPr>
          <w:bCs/>
        </w:rPr>
        <w:t xml:space="preserve">Dapat dilihat dari gambar 3 dan data-data statistik perbankan syariah yang di tampilkan pada Otoritas Jasa Keuangan </w:t>
      </w:r>
      <w:r>
        <w:rPr>
          <w:bCs/>
        </w:rPr>
        <w:lastRenderedPageBreak/>
        <w:t>(OJK).</w:t>
      </w:r>
      <w:proofErr w:type="gramEnd"/>
      <w:r>
        <w:rPr>
          <w:bCs/>
        </w:rPr>
        <w:t xml:space="preserve"> </w:t>
      </w:r>
      <w:proofErr w:type="gramStart"/>
      <w:r>
        <w:rPr>
          <w:bCs/>
        </w:rPr>
        <w:t xml:space="preserve">Pertumbuhan dan perkembangan jumlah aset, </w:t>
      </w:r>
      <w:r w:rsidRPr="00BC42E6">
        <w:rPr>
          <w:bCs/>
        </w:rPr>
        <w:t>DPK (Dana</w:t>
      </w:r>
      <w:r>
        <w:rPr>
          <w:bCs/>
        </w:rPr>
        <w:t xml:space="preserve"> </w:t>
      </w:r>
      <w:r w:rsidRPr="00BC42E6">
        <w:rPr>
          <w:bCs/>
        </w:rPr>
        <w:t>Pihak Ketiga), dan jumlah PYD</w:t>
      </w:r>
      <w:r>
        <w:rPr>
          <w:bCs/>
        </w:rPr>
        <w:t xml:space="preserve"> </w:t>
      </w:r>
      <w:r w:rsidRPr="00BC42E6">
        <w:rPr>
          <w:bCs/>
        </w:rPr>
        <w:t>(Pembiayaan yang Disalurkan)</w:t>
      </w:r>
      <w:r>
        <w:rPr>
          <w:bCs/>
        </w:rPr>
        <w:t xml:space="preserve"> selalu meningkat dari tahun 2007 sampai 2017.</w:t>
      </w:r>
      <w:proofErr w:type="gramEnd"/>
      <w:r>
        <w:rPr>
          <w:bCs/>
        </w:rPr>
        <w:t xml:space="preserve"> Aset pada tahun 2007 mengalami pertumbuhan sebesar 36.538 atau 36</w:t>
      </w:r>
      <w:proofErr w:type="gramStart"/>
      <w:r>
        <w:rPr>
          <w:bCs/>
        </w:rPr>
        <w:t>,73</w:t>
      </w:r>
      <w:proofErr w:type="gramEnd"/>
      <w:r>
        <w:rPr>
          <w:bCs/>
        </w:rPr>
        <w:t>% dari tahun sebelumnya. Pada tahun 2008 mengalami peningkatan menjadi 49.555 atau 35</w:t>
      </w:r>
      <w:proofErr w:type="gramStart"/>
      <w:r>
        <w:rPr>
          <w:bCs/>
        </w:rPr>
        <w:t>,62</w:t>
      </w:r>
      <w:proofErr w:type="gramEnd"/>
      <w:r>
        <w:rPr>
          <w:bCs/>
        </w:rPr>
        <w:t>%. Pada tahun 2009 aset mengalami peningkatan sebesar 66.090 atau 33</w:t>
      </w:r>
      <w:proofErr w:type="gramStart"/>
      <w:r>
        <w:rPr>
          <w:bCs/>
        </w:rPr>
        <w:t>,39</w:t>
      </w:r>
      <w:proofErr w:type="gramEnd"/>
      <w:r>
        <w:rPr>
          <w:bCs/>
        </w:rPr>
        <w:t>%. Pada tahun 2010 aset mengalami peningkatan sebesar 97.519 atau 47</w:t>
      </w:r>
      <w:proofErr w:type="gramStart"/>
      <w:r>
        <w:rPr>
          <w:bCs/>
        </w:rPr>
        <w:t>,55</w:t>
      </w:r>
      <w:proofErr w:type="gramEnd"/>
      <w:r>
        <w:rPr>
          <w:bCs/>
        </w:rPr>
        <w:t>%. Pada tahun 2011 aset mengalami peningkatan sebesar 145.467 atau 49</w:t>
      </w:r>
      <w:proofErr w:type="gramStart"/>
      <w:r>
        <w:rPr>
          <w:bCs/>
        </w:rPr>
        <w:t>,16</w:t>
      </w:r>
      <w:proofErr w:type="gramEnd"/>
      <w:r>
        <w:rPr>
          <w:bCs/>
        </w:rPr>
        <w:t>%. Pada tahun 2012 aset mengalami peningkatan sebesar 195.018 atau 34</w:t>
      </w:r>
      <w:proofErr w:type="gramStart"/>
      <w:r>
        <w:rPr>
          <w:bCs/>
        </w:rPr>
        <w:t>,06</w:t>
      </w:r>
      <w:proofErr w:type="gramEnd"/>
      <w:r>
        <w:rPr>
          <w:bCs/>
        </w:rPr>
        <w:t>%. Pada tahun 2013 aset mengalami peningkatan sebesar 242.276 atau 24</w:t>
      </w:r>
      <w:proofErr w:type="gramStart"/>
      <w:r>
        <w:rPr>
          <w:bCs/>
        </w:rPr>
        <w:t>,23</w:t>
      </w:r>
      <w:proofErr w:type="gramEnd"/>
      <w:r>
        <w:rPr>
          <w:bCs/>
        </w:rPr>
        <w:t>%. Pada tahun 2014 aset mengalami peningkatan sebesar 272.343 atau 12</w:t>
      </w:r>
      <w:proofErr w:type="gramStart"/>
      <w:r>
        <w:rPr>
          <w:bCs/>
        </w:rPr>
        <w:t>,41</w:t>
      </w:r>
      <w:proofErr w:type="gramEnd"/>
      <w:r>
        <w:rPr>
          <w:bCs/>
        </w:rPr>
        <w:t>%. Pada tahun 2015 aset mengalami peningkatan sebesar 308.989 atau 13</w:t>
      </w:r>
      <w:proofErr w:type="gramStart"/>
      <w:r>
        <w:rPr>
          <w:bCs/>
        </w:rPr>
        <w:t>,45</w:t>
      </w:r>
      <w:proofErr w:type="gramEnd"/>
      <w:r>
        <w:rPr>
          <w:bCs/>
        </w:rPr>
        <w:t>%. Pada tahun 2016 aset mengalami peningkatan sebesar 372.881 atau 20</w:t>
      </w:r>
      <w:proofErr w:type="gramStart"/>
      <w:r>
        <w:rPr>
          <w:bCs/>
        </w:rPr>
        <w:t>,67</w:t>
      </w:r>
      <w:proofErr w:type="gramEnd"/>
      <w:r>
        <w:rPr>
          <w:bCs/>
        </w:rPr>
        <w:t>%. Pada tahun 2017 aset mengalami peningkatan sebesar 440.304 atau 18</w:t>
      </w:r>
      <w:proofErr w:type="gramStart"/>
      <w:r>
        <w:rPr>
          <w:bCs/>
        </w:rPr>
        <w:t>,08</w:t>
      </w:r>
      <w:proofErr w:type="gramEnd"/>
      <w:r>
        <w:rPr>
          <w:bCs/>
        </w:rPr>
        <w:t xml:space="preserve">%. </w:t>
      </w:r>
    </w:p>
    <w:p w:rsidR="009B0DD2" w:rsidRDefault="009B0DD2" w:rsidP="009B0DD2">
      <w:pPr>
        <w:spacing w:line="360" w:lineRule="auto"/>
        <w:ind w:firstLine="720"/>
        <w:jc w:val="both"/>
        <w:rPr>
          <w:bCs/>
          <w:lang w:val="id-ID"/>
        </w:rPr>
      </w:pPr>
      <w:r w:rsidRPr="00BC42E6">
        <w:rPr>
          <w:bCs/>
        </w:rPr>
        <w:t>DPK (Dana</w:t>
      </w:r>
      <w:r>
        <w:rPr>
          <w:bCs/>
        </w:rPr>
        <w:t xml:space="preserve"> </w:t>
      </w:r>
      <w:r w:rsidRPr="00BC42E6">
        <w:rPr>
          <w:bCs/>
        </w:rPr>
        <w:t>Pihak Ketiga)</w:t>
      </w:r>
      <w:r>
        <w:rPr>
          <w:bCs/>
        </w:rPr>
        <w:t xml:space="preserve"> pada tahun 2007 mengalami pertumbuhan sebesar 28.012 atau 35,50% dari tahun sebelumnya. Pada tahun 2008 </w:t>
      </w:r>
      <w:r w:rsidRPr="00BC42E6">
        <w:rPr>
          <w:bCs/>
        </w:rPr>
        <w:t>DPK</w:t>
      </w:r>
      <w:r>
        <w:rPr>
          <w:bCs/>
        </w:rPr>
        <w:t xml:space="preserve"> mengalami peningkatan menjadi 36.852 atau 31</w:t>
      </w:r>
      <w:proofErr w:type="gramStart"/>
      <w:r>
        <w:rPr>
          <w:bCs/>
        </w:rPr>
        <w:t>,55</w:t>
      </w:r>
      <w:proofErr w:type="gramEnd"/>
      <w:r>
        <w:rPr>
          <w:bCs/>
        </w:rPr>
        <w:t xml:space="preserve">%. Pada tahun 2009 </w:t>
      </w:r>
      <w:r w:rsidRPr="00BC42E6">
        <w:rPr>
          <w:bCs/>
        </w:rPr>
        <w:t>DPK</w:t>
      </w:r>
      <w:r>
        <w:rPr>
          <w:bCs/>
        </w:rPr>
        <w:t xml:space="preserve"> mengalami peningkatan menjadi 52.271 atau 41</w:t>
      </w:r>
      <w:proofErr w:type="gramStart"/>
      <w:r>
        <w:rPr>
          <w:bCs/>
        </w:rPr>
        <w:t>,84</w:t>
      </w:r>
      <w:proofErr w:type="gramEnd"/>
      <w:r>
        <w:rPr>
          <w:bCs/>
        </w:rPr>
        <w:t xml:space="preserve">%. Pada tahun 2010 </w:t>
      </w:r>
      <w:r w:rsidRPr="00BC42E6">
        <w:rPr>
          <w:bCs/>
        </w:rPr>
        <w:t>DPK</w:t>
      </w:r>
      <w:r>
        <w:rPr>
          <w:bCs/>
        </w:rPr>
        <w:t xml:space="preserve"> mengalami peningkatan menjadi 76.036 atau 45</w:t>
      </w:r>
      <w:proofErr w:type="gramStart"/>
      <w:r>
        <w:rPr>
          <w:bCs/>
        </w:rPr>
        <w:t>,46</w:t>
      </w:r>
      <w:proofErr w:type="gramEnd"/>
      <w:r>
        <w:rPr>
          <w:bCs/>
        </w:rPr>
        <w:t xml:space="preserve">%. Pada tahun 2011 </w:t>
      </w:r>
      <w:r w:rsidRPr="00BC42E6">
        <w:rPr>
          <w:bCs/>
        </w:rPr>
        <w:t>DPK</w:t>
      </w:r>
      <w:r>
        <w:rPr>
          <w:bCs/>
        </w:rPr>
        <w:t xml:space="preserve"> mengalami peningkatan menjadi 115.415 atau 51</w:t>
      </w:r>
      <w:proofErr w:type="gramStart"/>
      <w:r>
        <w:rPr>
          <w:bCs/>
        </w:rPr>
        <w:t>,78</w:t>
      </w:r>
      <w:proofErr w:type="gramEnd"/>
      <w:r>
        <w:rPr>
          <w:bCs/>
        </w:rPr>
        <w:t xml:space="preserve">%. Pada tahun 2012 </w:t>
      </w:r>
      <w:r w:rsidRPr="00BC42E6">
        <w:rPr>
          <w:bCs/>
        </w:rPr>
        <w:t>DPK</w:t>
      </w:r>
      <w:r>
        <w:rPr>
          <w:bCs/>
        </w:rPr>
        <w:t xml:space="preserve"> mengalami peningkatan menjadi 147.512 atau 27</w:t>
      </w:r>
      <w:proofErr w:type="gramStart"/>
      <w:r>
        <w:rPr>
          <w:bCs/>
        </w:rPr>
        <w:t>,81</w:t>
      </w:r>
      <w:proofErr w:type="gramEnd"/>
      <w:r>
        <w:rPr>
          <w:bCs/>
        </w:rPr>
        <w:t xml:space="preserve">%. Pada tahun 2013 </w:t>
      </w:r>
      <w:r w:rsidRPr="00BC42E6">
        <w:rPr>
          <w:bCs/>
        </w:rPr>
        <w:t>DPK</w:t>
      </w:r>
      <w:r>
        <w:rPr>
          <w:bCs/>
        </w:rPr>
        <w:t xml:space="preserve"> mengalami peningkatan menjadi 183.534 atau 24</w:t>
      </w:r>
      <w:proofErr w:type="gramStart"/>
      <w:r>
        <w:rPr>
          <w:bCs/>
        </w:rPr>
        <w:t>,41</w:t>
      </w:r>
      <w:proofErr w:type="gramEnd"/>
      <w:r>
        <w:rPr>
          <w:bCs/>
        </w:rPr>
        <w:t xml:space="preserve">%. Pada tahun 2014 </w:t>
      </w:r>
      <w:r w:rsidRPr="00BC42E6">
        <w:rPr>
          <w:bCs/>
        </w:rPr>
        <w:t>DPK</w:t>
      </w:r>
      <w:r>
        <w:rPr>
          <w:bCs/>
        </w:rPr>
        <w:t xml:space="preserve"> mengalami peningkatan menjadi 217.858 atau 18</w:t>
      </w:r>
      <w:proofErr w:type="gramStart"/>
      <w:r>
        <w:rPr>
          <w:bCs/>
        </w:rPr>
        <w:t>,70</w:t>
      </w:r>
      <w:proofErr w:type="gramEnd"/>
      <w:r>
        <w:rPr>
          <w:bCs/>
        </w:rPr>
        <w:t>%. Pada tahun 2015</w:t>
      </w:r>
      <w:r w:rsidRPr="004C140C">
        <w:rPr>
          <w:bCs/>
        </w:rPr>
        <w:t xml:space="preserve"> DPK mengalami peningkatan menjadi</w:t>
      </w:r>
      <w:r>
        <w:rPr>
          <w:bCs/>
        </w:rPr>
        <w:t xml:space="preserve"> 231.175</w:t>
      </w:r>
      <w:r w:rsidRPr="004C140C">
        <w:rPr>
          <w:bCs/>
        </w:rPr>
        <w:t xml:space="preserve"> atau </w:t>
      </w:r>
      <w:r>
        <w:rPr>
          <w:bCs/>
        </w:rPr>
        <w:t>6</w:t>
      </w:r>
      <w:proofErr w:type="gramStart"/>
      <w:r>
        <w:rPr>
          <w:bCs/>
        </w:rPr>
        <w:t>,11</w:t>
      </w:r>
      <w:proofErr w:type="gramEnd"/>
      <w:r w:rsidRPr="004C140C">
        <w:rPr>
          <w:bCs/>
        </w:rPr>
        <w:t>%</w:t>
      </w:r>
      <w:r>
        <w:rPr>
          <w:bCs/>
        </w:rPr>
        <w:t>. Pada tahun 2016</w:t>
      </w:r>
      <w:r w:rsidRPr="004C140C">
        <w:rPr>
          <w:bCs/>
        </w:rPr>
        <w:t xml:space="preserve"> DPK mengalami peningkatan menjadi</w:t>
      </w:r>
      <w:r>
        <w:rPr>
          <w:bCs/>
        </w:rPr>
        <w:t xml:space="preserve"> 279.335</w:t>
      </w:r>
      <w:r w:rsidRPr="004C140C">
        <w:rPr>
          <w:bCs/>
        </w:rPr>
        <w:t xml:space="preserve"> atau </w:t>
      </w:r>
      <w:r>
        <w:rPr>
          <w:bCs/>
        </w:rPr>
        <w:t>20</w:t>
      </w:r>
      <w:proofErr w:type="gramStart"/>
      <w:r>
        <w:rPr>
          <w:bCs/>
        </w:rPr>
        <w:t>,83</w:t>
      </w:r>
      <w:proofErr w:type="gramEnd"/>
      <w:r w:rsidRPr="004C140C">
        <w:rPr>
          <w:bCs/>
        </w:rPr>
        <w:t>%</w:t>
      </w:r>
      <w:r>
        <w:rPr>
          <w:bCs/>
        </w:rPr>
        <w:t>. Pada tahun 2017</w:t>
      </w:r>
      <w:r w:rsidRPr="004C140C">
        <w:rPr>
          <w:bCs/>
        </w:rPr>
        <w:t xml:space="preserve"> DPK mengalami peningkatan menjadi</w:t>
      </w:r>
      <w:r>
        <w:rPr>
          <w:bCs/>
        </w:rPr>
        <w:t xml:space="preserve"> 334.719</w:t>
      </w:r>
      <w:r w:rsidRPr="004C140C">
        <w:rPr>
          <w:bCs/>
        </w:rPr>
        <w:t xml:space="preserve"> atau </w:t>
      </w:r>
      <w:r>
        <w:rPr>
          <w:bCs/>
        </w:rPr>
        <w:t>19</w:t>
      </w:r>
      <w:proofErr w:type="gramStart"/>
      <w:r>
        <w:rPr>
          <w:bCs/>
        </w:rPr>
        <w:t>,82</w:t>
      </w:r>
      <w:proofErr w:type="gramEnd"/>
      <w:r w:rsidRPr="004C140C">
        <w:rPr>
          <w:bCs/>
        </w:rPr>
        <w:t>%</w:t>
      </w:r>
      <w:r>
        <w:rPr>
          <w:bCs/>
        </w:rPr>
        <w:t>.</w:t>
      </w:r>
    </w:p>
    <w:p w:rsidR="009B0DD2" w:rsidRDefault="009B0DD2" w:rsidP="009B0DD2">
      <w:pPr>
        <w:spacing w:line="360" w:lineRule="auto"/>
        <w:ind w:firstLine="720"/>
        <w:jc w:val="both"/>
        <w:rPr>
          <w:bCs/>
          <w:lang w:val="id-ID"/>
        </w:rPr>
      </w:pPr>
      <w:r>
        <w:rPr>
          <w:bCs/>
        </w:rPr>
        <w:t xml:space="preserve">Sementara untuk </w:t>
      </w:r>
      <w:r w:rsidRPr="00BC42E6">
        <w:rPr>
          <w:bCs/>
        </w:rPr>
        <w:t>PYD</w:t>
      </w:r>
      <w:r>
        <w:rPr>
          <w:bCs/>
        </w:rPr>
        <w:t xml:space="preserve"> </w:t>
      </w:r>
      <w:r w:rsidRPr="00BC42E6">
        <w:rPr>
          <w:bCs/>
        </w:rPr>
        <w:t>(Pembiayaan yang Disalurkan)</w:t>
      </w:r>
      <w:r>
        <w:rPr>
          <w:bCs/>
        </w:rPr>
        <w:t xml:space="preserve"> pada tahun 2007 mengalami pertumbuhan sebesar 27.944 atau 36,67% dari tahun sebelumnya. Pada tahun 2008 </w:t>
      </w:r>
      <w:r w:rsidRPr="00BC42E6">
        <w:rPr>
          <w:bCs/>
        </w:rPr>
        <w:t>PYD</w:t>
      </w:r>
      <w:r>
        <w:rPr>
          <w:bCs/>
        </w:rPr>
        <w:t xml:space="preserve"> mengalami peningkatan sebesar 38.199 atau 36</w:t>
      </w:r>
      <w:proofErr w:type="gramStart"/>
      <w:r>
        <w:rPr>
          <w:bCs/>
        </w:rPr>
        <w:t>,7</w:t>
      </w:r>
      <w:proofErr w:type="gramEnd"/>
      <w:r>
        <w:rPr>
          <w:bCs/>
        </w:rPr>
        <w:t xml:space="preserve">%. </w:t>
      </w:r>
      <w:r w:rsidRPr="00A53612">
        <w:rPr>
          <w:bCs/>
        </w:rPr>
        <w:t xml:space="preserve">Pada tahun 2009 </w:t>
      </w:r>
      <w:r w:rsidRPr="00BC42E6">
        <w:rPr>
          <w:bCs/>
        </w:rPr>
        <w:t>PYD</w:t>
      </w:r>
      <w:r w:rsidRPr="00A53612">
        <w:rPr>
          <w:bCs/>
        </w:rPr>
        <w:t xml:space="preserve"> </w:t>
      </w:r>
      <w:r>
        <w:rPr>
          <w:bCs/>
        </w:rPr>
        <w:t>mengalami peningkatan menjadi 46.886 atau 22</w:t>
      </w:r>
      <w:proofErr w:type="gramStart"/>
      <w:r>
        <w:rPr>
          <w:bCs/>
        </w:rPr>
        <w:t>,7</w:t>
      </w:r>
      <w:r w:rsidRPr="00A53612">
        <w:rPr>
          <w:bCs/>
        </w:rPr>
        <w:t>4</w:t>
      </w:r>
      <w:proofErr w:type="gramEnd"/>
      <w:r w:rsidRPr="00A53612">
        <w:rPr>
          <w:bCs/>
        </w:rPr>
        <w:t>%.</w:t>
      </w:r>
      <w:r>
        <w:rPr>
          <w:bCs/>
        </w:rPr>
        <w:t xml:space="preserve"> Pada tahun 2010</w:t>
      </w:r>
      <w:r w:rsidRPr="00A53612">
        <w:rPr>
          <w:bCs/>
        </w:rPr>
        <w:t xml:space="preserve"> </w:t>
      </w:r>
      <w:r w:rsidRPr="00BC42E6">
        <w:rPr>
          <w:bCs/>
        </w:rPr>
        <w:t>PYD</w:t>
      </w:r>
      <w:r w:rsidRPr="00A53612">
        <w:rPr>
          <w:bCs/>
        </w:rPr>
        <w:t xml:space="preserve"> </w:t>
      </w:r>
      <w:r>
        <w:rPr>
          <w:bCs/>
        </w:rPr>
        <w:t>mengalami peningkatan menjadi 68.181 atau 45</w:t>
      </w:r>
      <w:proofErr w:type="gramStart"/>
      <w:r>
        <w:rPr>
          <w:bCs/>
        </w:rPr>
        <w:t>,41</w:t>
      </w:r>
      <w:proofErr w:type="gramEnd"/>
      <w:r w:rsidRPr="00A53612">
        <w:rPr>
          <w:bCs/>
        </w:rPr>
        <w:t>%.</w:t>
      </w:r>
      <w:r>
        <w:rPr>
          <w:bCs/>
        </w:rPr>
        <w:t xml:space="preserve"> Pada tahun 2011</w:t>
      </w:r>
      <w:r w:rsidRPr="00A53612">
        <w:rPr>
          <w:bCs/>
        </w:rPr>
        <w:t xml:space="preserve"> </w:t>
      </w:r>
      <w:r w:rsidRPr="00BC42E6">
        <w:rPr>
          <w:bCs/>
        </w:rPr>
        <w:t>PYD</w:t>
      </w:r>
      <w:r w:rsidRPr="00A53612">
        <w:rPr>
          <w:bCs/>
        </w:rPr>
        <w:t xml:space="preserve"> </w:t>
      </w:r>
      <w:r>
        <w:rPr>
          <w:bCs/>
        </w:rPr>
        <w:t>mengalami peningkatan menjadi 102.655 atau 50</w:t>
      </w:r>
      <w:proofErr w:type="gramStart"/>
      <w:r>
        <w:rPr>
          <w:bCs/>
        </w:rPr>
        <w:t>,56</w:t>
      </w:r>
      <w:proofErr w:type="gramEnd"/>
      <w:r w:rsidRPr="00A53612">
        <w:rPr>
          <w:bCs/>
        </w:rPr>
        <w:t>%.</w:t>
      </w:r>
      <w:r>
        <w:rPr>
          <w:bCs/>
        </w:rPr>
        <w:t xml:space="preserve"> Pada tahun 2012</w:t>
      </w:r>
      <w:r w:rsidRPr="00A53612">
        <w:rPr>
          <w:bCs/>
        </w:rPr>
        <w:t xml:space="preserve"> </w:t>
      </w:r>
      <w:r w:rsidRPr="00BC42E6">
        <w:rPr>
          <w:bCs/>
        </w:rPr>
        <w:t>PYD</w:t>
      </w:r>
      <w:r w:rsidRPr="00A53612">
        <w:rPr>
          <w:bCs/>
        </w:rPr>
        <w:t xml:space="preserve"> </w:t>
      </w:r>
      <w:r>
        <w:rPr>
          <w:bCs/>
        </w:rPr>
        <w:t>mengalami peningkatan menjadi 147.505 atau 43</w:t>
      </w:r>
      <w:proofErr w:type="gramStart"/>
      <w:r>
        <w:rPr>
          <w:bCs/>
        </w:rPr>
        <w:t>,69</w:t>
      </w:r>
      <w:proofErr w:type="gramEnd"/>
      <w:r w:rsidRPr="00A53612">
        <w:rPr>
          <w:bCs/>
        </w:rPr>
        <w:t>%.</w:t>
      </w:r>
      <w:r>
        <w:rPr>
          <w:bCs/>
        </w:rPr>
        <w:t xml:space="preserve"> Pada tahun 2013</w:t>
      </w:r>
      <w:r w:rsidRPr="00A53612">
        <w:rPr>
          <w:bCs/>
        </w:rPr>
        <w:t xml:space="preserve"> </w:t>
      </w:r>
      <w:r w:rsidRPr="00BC42E6">
        <w:rPr>
          <w:bCs/>
        </w:rPr>
        <w:t>PYD</w:t>
      </w:r>
      <w:r w:rsidRPr="00A53612">
        <w:rPr>
          <w:bCs/>
        </w:rPr>
        <w:t xml:space="preserve"> </w:t>
      </w:r>
      <w:r>
        <w:rPr>
          <w:bCs/>
        </w:rPr>
        <w:t>mengalami peningkatan menjadi 184.122 atau 24</w:t>
      </w:r>
      <w:proofErr w:type="gramStart"/>
      <w:r>
        <w:rPr>
          <w:bCs/>
        </w:rPr>
        <w:t>,82</w:t>
      </w:r>
      <w:proofErr w:type="gramEnd"/>
      <w:r w:rsidRPr="00A53612">
        <w:rPr>
          <w:bCs/>
        </w:rPr>
        <w:t>%.</w:t>
      </w:r>
      <w:r>
        <w:rPr>
          <w:bCs/>
        </w:rPr>
        <w:t xml:space="preserve"> Pada tahun 2014</w:t>
      </w:r>
      <w:r w:rsidRPr="00A53612">
        <w:rPr>
          <w:bCs/>
        </w:rPr>
        <w:t xml:space="preserve"> </w:t>
      </w:r>
      <w:r w:rsidRPr="00BC42E6">
        <w:rPr>
          <w:bCs/>
        </w:rPr>
        <w:t>PYD</w:t>
      </w:r>
      <w:r w:rsidRPr="00A53612">
        <w:rPr>
          <w:bCs/>
        </w:rPr>
        <w:t xml:space="preserve"> </w:t>
      </w:r>
      <w:r>
        <w:rPr>
          <w:bCs/>
        </w:rPr>
        <w:t>mengalami peningkatan menjadi 199.330 atau 8</w:t>
      </w:r>
      <w:proofErr w:type="gramStart"/>
      <w:r>
        <w:rPr>
          <w:bCs/>
        </w:rPr>
        <w:t>,26</w:t>
      </w:r>
      <w:proofErr w:type="gramEnd"/>
      <w:r w:rsidRPr="00A53612">
        <w:rPr>
          <w:bCs/>
        </w:rPr>
        <w:t>%.</w:t>
      </w:r>
      <w:r>
        <w:rPr>
          <w:bCs/>
        </w:rPr>
        <w:t xml:space="preserve"> Pada tahun 2015</w:t>
      </w:r>
      <w:r w:rsidRPr="00A53612">
        <w:rPr>
          <w:bCs/>
        </w:rPr>
        <w:t xml:space="preserve"> </w:t>
      </w:r>
      <w:r w:rsidRPr="00BC42E6">
        <w:rPr>
          <w:bCs/>
        </w:rPr>
        <w:t>PYD</w:t>
      </w:r>
      <w:r w:rsidRPr="00A53612">
        <w:rPr>
          <w:bCs/>
        </w:rPr>
        <w:t xml:space="preserve"> </w:t>
      </w:r>
      <w:r>
        <w:rPr>
          <w:bCs/>
        </w:rPr>
        <w:t>mengalami peningkatan menjadi 229.544 atau 15</w:t>
      </w:r>
      <w:proofErr w:type="gramStart"/>
      <w:r>
        <w:rPr>
          <w:bCs/>
        </w:rPr>
        <w:t>,15</w:t>
      </w:r>
      <w:proofErr w:type="gramEnd"/>
      <w:r w:rsidRPr="00A53612">
        <w:rPr>
          <w:bCs/>
        </w:rPr>
        <w:t>%.</w:t>
      </w:r>
      <w:r>
        <w:rPr>
          <w:bCs/>
        </w:rPr>
        <w:t xml:space="preserve"> Pada tahun 2016</w:t>
      </w:r>
      <w:r w:rsidRPr="00A53612">
        <w:rPr>
          <w:bCs/>
        </w:rPr>
        <w:t xml:space="preserve"> </w:t>
      </w:r>
      <w:r w:rsidRPr="00BC42E6">
        <w:rPr>
          <w:bCs/>
        </w:rPr>
        <w:lastRenderedPageBreak/>
        <w:t>PYD</w:t>
      </w:r>
      <w:r w:rsidRPr="00A53612">
        <w:rPr>
          <w:bCs/>
        </w:rPr>
        <w:t xml:space="preserve"> </w:t>
      </w:r>
      <w:r>
        <w:rPr>
          <w:bCs/>
        </w:rPr>
        <w:t>mengalami peningkatan menjadi 284.256 atau 23</w:t>
      </w:r>
      <w:proofErr w:type="gramStart"/>
      <w:r>
        <w:rPr>
          <w:bCs/>
        </w:rPr>
        <w:t>,83</w:t>
      </w:r>
      <w:proofErr w:type="gramEnd"/>
      <w:r w:rsidRPr="00A53612">
        <w:rPr>
          <w:bCs/>
        </w:rPr>
        <w:t>%.</w:t>
      </w:r>
      <w:r>
        <w:rPr>
          <w:bCs/>
        </w:rPr>
        <w:t xml:space="preserve"> Pada tahun 2017</w:t>
      </w:r>
      <w:r w:rsidRPr="00A53612">
        <w:rPr>
          <w:bCs/>
        </w:rPr>
        <w:t xml:space="preserve"> </w:t>
      </w:r>
      <w:r w:rsidRPr="00BC42E6">
        <w:rPr>
          <w:bCs/>
        </w:rPr>
        <w:t>PYD</w:t>
      </w:r>
      <w:r w:rsidRPr="00A53612">
        <w:rPr>
          <w:bCs/>
        </w:rPr>
        <w:t xml:space="preserve"> </w:t>
      </w:r>
      <w:r>
        <w:rPr>
          <w:bCs/>
        </w:rPr>
        <w:t>mengalami peningkatan menjadi 359.070 atau 26</w:t>
      </w:r>
      <w:proofErr w:type="gramStart"/>
      <w:r>
        <w:rPr>
          <w:bCs/>
        </w:rPr>
        <w:t>,31</w:t>
      </w:r>
      <w:proofErr w:type="gramEnd"/>
      <w:r w:rsidRPr="00A53612">
        <w:rPr>
          <w:bCs/>
        </w:rPr>
        <w:t>%.</w:t>
      </w:r>
    </w:p>
    <w:p w:rsidR="007F089D" w:rsidRDefault="007F089D" w:rsidP="00E25A1B">
      <w:pPr>
        <w:rPr>
          <w:b/>
          <w:bCs/>
          <w:iCs/>
          <w:color w:val="000000"/>
          <w:lang w:val="id-ID"/>
        </w:rPr>
      </w:pPr>
    </w:p>
    <w:p w:rsidR="009B0DD2" w:rsidRDefault="009B0DD2" w:rsidP="00E25A1B">
      <w:pPr>
        <w:rPr>
          <w:b/>
          <w:bCs/>
          <w:iCs/>
          <w:color w:val="000000"/>
          <w:lang w:val="id-ID"/>
        </w:rPr>
      </w:pPr>
    </w:p>
    <w:p w:rsidR="00E25A1B" w:rsidRDefault="00E25A1B" w:rsidP="00E25A1B">
      <w:pPr>
        <w:rPr>
          <w:b/>
          <w:bCs/>
          <w:iCs/>
          <w:color w:val="000000"/>
          <w:lang w:val="id-ID"/>
        </w:rPr>
      </w:pPr>
      <w:r>
        <w:rPr>
          <w:b/>
          <w:bCs/>
          <w:iCs/>
          <w:color w:val="000000"/>
          <w:lang w:val="id-ID"/>
        </w:rPr>
        <w:t>Referensi</w:t>
      </w:r>
    </w:p>
    <w:p w:rsidR="00E25A1B" w:rsidRDefault="00E25A1B" w:rsidP="00E25A1B">
      <w:pPr>
        <w:rPr>
          <w:b/>
          <w:bCs/>
          <w:iCs/>
          <w:color w:val="000000"/>
          <w:lang w:val="id-ID"/>
        </w:rPr>
      </w:pPr>
    </w:p>
    <w:p w:rsidR="00AD31BA" w:rsidRDefault="00E25A1B" w:rsidP="00C42B3C">
      <w:pPr>
        <w:widowControl w:val="0"/>
        <w:autoSpaceDE w:val="0"/>
        <w:autoSpaceDN w:val="0"/>
        <w:adjustRightInd w:val="0"/>
        <w:ind w:left="480" w:hanging="480"/>
        <w:jc w:val="both"/>
        <w:rPr>
          <w:noProof/>
          <w:lang w:val="id-ID"/>
        </w:rPr>
      </w:pPr>
      <w:r>
        <w:rPr>
          <w:b/>
          <w:bCs/>
          <w:iCs/>
          <w:color w:val="000000"/>
          <w:lang w:val="id-ID"/>
        </w:rPr>
        <w:fldChar w:fldCharType="begin" w:fldLock="1"/>
      </w:r>
      <w:r>
        <w:rPr>
          <w:b/>
          <w:bCs/>
          <w:iCs/>
          <w:color w:val="000000"/>
          <w:lang w:val="id-ID"/>
        </w:rPr>
        <w:instrText xml:space="preserve">ADDIN Mendeley Bibliography CSL_BIBLIOGRAPHY </w:instrText>
      </w:r>
      <w:r>
        <w:rPr>
          <w:b/>
          <w:bCs/>
          <w:iCs/>
          <w:color w:val="000000"/>
          <w:lang w:val="id-ID"/>
        </w:rPr>
        <w:fldChar w:fldCharType="separate"/>
      </w:r>
      <w:r w:rsidR="00AD31BA" w:rsidRPr="00AD31BA">
        <w:rPr>
          <w:noProof/>
        </w:rPr>
        <w:t xml:space="preserve">Alamsyah, Halim. 2012. “Perkembangan Dan Prospek Perbankan Syariah Indonesia: Tantangan Dalam Menyongsong MEA 2015.” </w:t>
      </w:r>
      <w:r w:rsidR="00AD31BA" w:rsidRPr="00AD31BA">
        <w:rPr>
          <w:i/>
          <w:iCs/>
          <w:noProof/>
        </w:rPr>
        <w:t>Milad ke-8 Ikatan Ahli Ekonomi Islam (IAEI)</w:t>
      </w:r>
      <w:r w:rsidR="00AD31BA" w:rsidRPr="00AD31BA">
        <w:rPr>
          <w:noProof/>
        </w:rPr>
        <w:t xml:space="preserve"> (April 2012): 1–8.</w:t>
      </w:r>
    </w:p>
    <w:p w:rsidR="00C42B3C" w:rsidRPr="00C42B3C" w:rsidRDefault="00C42B3C" w:rsidP="00C42B3C">
      <w:pPr>
        <w:widowControl w:val="0"/>
        <w:autoSpaceDE w:val="0"/>
        <w:autoSpaceDN w:val="0"/>
        <w:adjustRightInd w:val="0"/>
        <w:ind w:left="480" w:hanging="480"/>
        <w:jc w:val="both"/>
        <w:rPr>
          <w:noProof/>
          <w:lang w:val="id-ID"/>
        </w:rPr>
      </w:pPr>
    </w:p>
    <w:p w:rsidR="00AD31BA" w:rsidRDefault="00AD31BA" w:rsidP="00C42B3C">
      <w:pPr>
        <w:widowControl w:val="0"/>
        <w:autoSpaceDE w:val="0"/>
        <w:autoSpaceDN w:val="0"/>
        <w:adjustRightInd w:val="0"/>
        <w:ind w:left="480" w:hanging="480"/>
        <w:jc w:val="both"/>
        <w:rPr>
          <w:noProof/>
          <w:lang w:val="id-ID"/>
        </w:rPr>
      </w:pPr>
      <w:r w:rsidRPr="00AD31BA">
        <w:rPr>
          <w:noProof/>
        </w:rPr>
        <w:t xml:space="preserve">Diana Yumanita, Ascarya. 2010. 14 pengertian Bank Syariah journal </w:t>
      </w:r>
      <w:r w:rsidRPr="00AD31BA">
        <w:rPr>
          <w:i/>
          <w:iCs/>
          <w:noProof/>
        </w:rPr>
        <w:t>Bank Syariah: Gambaran Umum PUSAT</w:t>
      </w:r>
      <w:r w:rsidRPr="00AD31BA">
        <w:rPr>
          <w:noProof/>
        </w:rPr>
        <w:t>.</w:t>
      </w:r>
    </w:p>
    <w:p w:rsidR="00C42B3C" w:rsidRPr="00C42B3C" w:rsidRDefault="00C42B3C" w:rsidP="00C42B3C">
      <w:pPr>
        <w:widowControl w:val="0"/>
        <w:autoSpaceDE w:val="0"/>
        <w:autoSpaceDN w:val="0"/>
        <w:adjustRightInd w:val="0"/>
        <w:ind w:left="480" w:hanging="480"/>
        <w:jc w:val="both"/>
        <w:rPr>
          <w:noProof/>
          <w:lang w:val="id-ID"/>
        </w:rPr>
      </w:pPr>
    </w:p>
    <w:p w:rsidR="00AD31BA" w:rsidRDefault="00AD31BA" w:rsidP="00C42B3C">
      <w:pPr>
        <w:widowControl w:val="0"/>
        <w:autoSpaceDE w:val="0"/>
        <w:autoSpaceDN w:val="0"/>
        <w:adjustRightInd w:val="0"/>
        <w:ind w:left="480" w:hanging="480"/>
        <w:jc w:val="both"/>
        <w:rPr>
          <w:noProof/>
          <w:lang w:val="id-ID"/>
        </w:rPr>
      </w:pPr>
      <w:r w:rsidRPr="00AD31BA">
        <w:rPr>
          <w:noProof/>
        </w:rPr>
        <w:t xml:space="preserve">Fasa, Muhammad Iqbal. 2013. “Tantangan Dan Strategi Perkembangan Perbankan Syariah Di Indonesia.” </w:t>
      </w:r>
      <w:r w:rsidRPr="00AD31BA">
        <w:rPr>
          <w:i/>
          <w:iCs/>
          <w:noProof/>
        </w:rPr>
        <w:t>Jurnal Ekonomi Islam</w:t>
      </w:r>
      <w:r w:rsidRPr="00AD31BA">
        <w:rPr>
          <w:noProof/>
        </w:rPr>
        <w:t xml:space="preserve"> VII(2): 19–40.</w:t>
      </w:r>
    </w:p>
    <w:p w:rsidR="00C42B3C" w:rsidRPr="00C42B3C" w:rsidRDefault="00C42B3C" w:rsidP="00C42B3C">
      <w:pPr>
        <w:widowControl w:val="0"/>
        <w:autoSpaceDE w:val="0"/>
        <w:autoSpaceDN w:val="0"/>
        <w:adjustRightInd w:val="0"/>
        <w:ind w:left="480" w:hanging="480"/>
        <w:jc w:val="both"/>
        <w:rPr>
          <w:noProof/>
          <w:lang w:val="id-ID"/>
        </w:rPr>
      </w:pPr>
    </w:p>
    <w:p w:rsidR="00AD31BA" w:rsidRDefault="00AD31BA" w:rsidP="00C42B3C">
      <w:pPr>
        <w:widowControl w:val="0"/>
        <w:autoSpaceDE w:val="0"/>
        <w:autoSpaceDN w:val="0"/>
        <w:adjustRightInd w:val="0"/>
        <w:ind w:left="480" w:hanging="480"/>
        <w:jc w:val="both"/>
        <w:rPr>
          <w:noProof/>
          <w:lang w:val="id-ID"/>
        </w:rPr>
      </w:pPr>
      <w:r w:rsidRPr="00AD31BA">
        <w:rPr>
          <w:noProof/>
        </w:rPr>
        <w:t xml:space="preserve">Marimin, Agus, Abdul Haris Romdhoni, and Tira Nur Fitria. 2015. “Perkembangan Bank Syariah Di Indonesia.” </w:t>
      </w:r>
      <w:r w:rsidRPr="00AD31BA">
        <w:rPr>
          <w:i/>
          <w:iCs/>
          <w:noProof/>
        </w:rPr>
        <w:t>Jurnal Ilmiah Ekonomi Islam</w:t>
      </w:r>
      <w:r w:rsidRPr="00AD31BA">
        <w:rPr>
          <w:noProof/>
        </w:rPr>
        <w:t xml:space="preserve"> 1(2): 75–87.</w:t>
      </w:r>
    </w:p>
    <w:p w:rsidR="00C42B3C" w:rsidRPr="00C42B3C" w:rsidRDefault="00C42B3C" w:rsidP="00C42B3C">
      <w:pPr>
        <w:widowControl w:val="0"/>
        <w:autoSpaceDE w:val="0"/>
        <w:autoSpaceDN w:val="0"/>
        <w:adjustRightInd w:val="0"/>
        <w:ind w:left="480" w:hanging="480"/>
        <w:jc w:val="both"/>
        <w:rPr>
          <w:noProof/>
          <w:lang w:val="id-ID"/>
        </w:rPr>
      </w:pPr>
    </w:p>
    <w:p w:rsidR="00AD31BA" w:rsidRDefault="00AD31BA" w:rsidP="00C42B3C">
      <w:pPr>
        <w:widowControl w:val="0"/>
        <w:autoSpaceDE w:val="0"/>
        <w:autoSpaceDN w:val="0"/>
        <w:adjustRightInd w:val="0"/>
        <w:ind w:left="480" w:hanging="480"/>
        <w:jc w:val="both"/>
        <w:rPr>
          <w:noProof/>
          <w:lang w:val="id-ID"/>
        </w:rPr>
      </w:pPr>
      <w:r w:rsidRPr="00AD31BA">
        <w:rPr>
          <w:noProof/>
        </w:rPr>
        <w:t xml:space="preserve">Munawir, H. 2005. “Perencanaan Strategi Pengembangan Bank Syariah Di Indonesia.” </w:t>
      </w:r>
      <w:r w:rsidRPr="00AD31BA">
        <w:rPr>
          <w:i/>
          <w:iCs/>
          <w:noProof/>
        </w:rPr>
        <w:t>Jurnal Ilmiah Teknik Industri</w:t>
      </w:r>
      <w:r w:rsidRPr="00AD31BA">
        <w:rPr>
          <w:noProof/>
        </w:rPr>
        <w:t xml:space="preserve"> 4(1): 41–48.</w:t>
      </w:r>
    </w:p>
    <w:p w:rsidR="00C42B3C" w:rsidRPr="00C42B3C" w:rsidRDefault="00C42B3C" w:rsidP="00C42B3C">
      <w:pPr>
        <w:widowControl w:val="0"/>
        <w:autoSpaceDE w:val="0"/>
        <w:autoSpaceDN w:val="0"/>
        <w:adjustRightInd w:val="0"/>
        <w:ind w:left="480" w:hanging="480"/>
        <w:jc w:val="both"/>
        <w:rPr>
          <w:noProof/>
          <w:lang w:val="id-ID"/>
        </w:rPr>
      </w:pPr>
    </w:p>
    <w:p w:rsidR="00AD31BA" w:rsidRDefault="00AD31BA" w:rsidP="00C42B3C">
      <w:pPr>
        <w:widowControl w:val="0"/>
        <w:autoSpaceDE w:val="0"/>
        <w:autoSpaceDN w:val="0"/>
        <w:adjustRightInd w:val="0"/>
        <w:ind w:left="480" w:hanging="480"/>
        <w:jc w:val="both"/>
        <w:rPr>
          <w:noProof/>
          <w:lang w:val="id-ID"/>
        </w:rPr>
      </w:pPr>
      <w:r w:rsidRPr="00AD31BA">
        <w:rPr>
          <w:noProof/>
        </w:rPr>
        <w:t xml:space="preserve">Nofinawati. 2015. “Perkembangan Perbankan Syariah Di Indonesia.” </w:t>
      </w:r>
      <w:r w:rsidRPr="00AD31BA">
        <w:rPr>
          <w:i/>
          <w:iCs/>
          <w:noProof/>
        </w:rPr>
        <w:t>Jurnal JURIS</w:t>
      </w:r>
      <w:r w:rsidRPr="00AD31BA">
        <w:rPr>
          <w:noProof/>
        </w:rPr>
        <w:t xml:space="preserve"> 14(2): 168–83.</w:t>
      </w:r>
    </w:p>
    <w:p w:rsidR="00C42B3C" w:rsidRPr="00C42B3C" w:rsidRDefault="00C42B3C" w:rsidP="00C42B3C">
      <w:pPr>
        <w:widowControl w:val="0"/>
        <w:autoSpaceDE w:val="0"/>
        <w:autoSpaceDN w:val="0"/>
        <w:adjustRightInd w:val="0"/>
        <w:ind w:left="480" w:hanging="480"/>
        <w:jc w:val="both"/>
        <w:rPr>
          <w:noProof/>
          <w:lang w:val="id-ID"/>
        </w:rPr>
      </w:pPr>
    </w:p>
    <w:p w:rsidR="00AD31BA" w:rsidRDefault="00AD31BA" w:rsidP="00C42B3C">
      <w:pPr>
        <w:widowControl w:val="0"/>
        <w:autoSpaceDE w:val="0"/>
        <w:autoSpaceDN w:val="0"/>
        <w:adjustRightInd w:val="0"/>
        <w:ind w:left="480" w:hanging="480"/>
        <w:jc w:val="both"/>
        <w:rPr>
          <w:noProof/>
          <w:lang w:val="id-ID"/>
        </w:rPr>
      </w:pPr>
      <w:r w:rsidRPr="00AD31BA">
        <w:rPr>
          <w:noProof/>
        </w:rPr>
        <w:t xml:space="preserve">Sari, Mutiara dwi, Zakaria Bahari, and Zahri Hamat. 2013. “Perkembangan Perbankan Syariah Di Indonesia : Suatu Tinjauan.” </w:t>
      </w:r>
      <w:r w:rsidRPr="00AD31BA">
        <w:rPr>
          <w:i/>
          <w:iCs/>
          <w:noProof/>
        </w:rPr>
        <w:t>Jurnal Aplikasi Bisnis</w:t>
      </w:r>
      <w:r w:rsidRPr="00AD31BA">
        <w:rPr>
          <w:noProof/>
        </w:rPr>
        <w:t xml:space="preserve"> 3(2): 120–38.</w:t>
      </w:r>
    </w:p>
    <w:p w:rsidR="00C42B3C" w:rsidRPr="00C42B3C" w:rsidRDefault="00C42B3C" w:rsidP="00C42B3C">
      <w:pPr>
        <w:widowControl w:val="0"/>
        <w:autoSpaceDE w:val="0"/>
        <w:autoSpaceDN w:val="0"/>
        <w:adjustRightInd w:val="0"/>
        <w:ind w:left="480" w:hanging="480"/>
        <w:jc w:val="both"/>
        <w:rPr>
          <w:noProof/>
          <w:lang w:val="id-ID"/>
        </w:rPr>
      </w:pPr>
    </w:p>
    <w:p w:rsidR="00AD31BA" w:rsidRDefault="00AD31BA" w:rsidP="00C42B3C">
      <w:pPr>
        <w:widowControl w:val="0"/>
        <w:autoSpaceDE w:val="0"/>
        <w:autoSpaceDN w:val="0"/>
        <w:adjustRightInd w:val="0"/>
        <w:ind w:left="480" w:hanging="480"/>
        <w:jc w:val="both"/>
        <w:rPr>
          <w:noProof/>
          <w:lang w:val="id-ID"/>
        </w:rPr>
      </w:pPr>
      <w:r w:rsidRPr="00AD31BA">
        <w:rPr>
          <w:noProof/>
        </w:rPr>
        <w:t xml:space="preserve">Suhendro, Dedi. 2016. “Pengaruh Kualitas Sistem, Kualitas Informasi, Kualitas Pelayanan Dan Ekspektasi Kinerja Terhadap Kepuasan Pengguna Dalam Penerapan Sistem Teknologi Informasi Pada Koperasi Di Kota Pematang Siantar.” </w:t>
      </w:r>
      <w:r w:rsidRPr="00AD31BA">
        <w:rPr>
          <w:i/>
          <w:iCs/>
          <w:noProof/>
        </w:rPr>
        <w:t>JURASIK (Jurnal Riset Sistem Informasi &amp; Teknik Informatika)</w:t>
      </w:r>
      <w:r w:rsidRPr="00AD31BA">
        <w:rPr>
          <w:noProof/>
        </w:rPr>
        <w:t xml:space="preserve"> 1(1): 33–40.</w:t>
      </w:r>
    </w:p>
    <w:p w:rsidR="00C42B3C" w:rsidRPr="00C42B3C" w:rsidRDefault="00C42B3C" w:rsidP="00C42B3C">
      <w:pPr>
        <w:widowControl w:val="0"/>
        <w:autoSpaceDE w:val="0"/>
        <w:autoSpaceDN w:val="0"/>
        <w:adjustRightInd w:val="0"/>
        <w:ind w:left="480" w:hanging="480"/>
        <w:jc w:val="both"/>
        <w:rPr>
          <w:noProof/>
          <w:lang w:val="id-ID"/>
        </w:rPr>
      </w:pPr>
    </w:p>
    <w:p w:rsidR="00AD31BA" w:rsidRDefault="00AD31BA" w:rsidP="00C42B3C">
      <w:pPr>
        <w:widowControl w:val="0"/>
        <w:autoSpaceDE w:val="0"/>
        <w:autoSpaceDN w:val="0"/>
        <w:adjustRightInd w:val="0"/>
        <w:ind w:left="480" w:hanging="480"/>
        <w:jc w:val="both"/>
        <w:rPr>
          <w:noProof/>
          <w:lang w:val="id-ID"/>
        </w:rPr>
      </w:pPr>
      <w:r w:rsidRPr="00AD31BA">
        <w:rPr>
          <w:noProof/>
        </w:rPr>
        <w:t xml:space="preserve">———. 2018. “Analisis Perbandingan Kinerja Keuangan Bank Umum Syariah VS Bank Umum Konvensional Di Indonesia Dengan Menggunakan Rasio Keuangan.” </w:t>
      </w:r>
      <w:r w:rsidRPr="00AD31BA">
        <w:rPr>
          <w:i/>
          <w:iCs/>
          <w:noProof/>
        </w:rPr>
        <w:t>Jurnal Masharif al-Syariah: Jurnal Ekonomi dan Perbankan Syariah</w:t>
      </w:r>
      <w:r w:rsidRPr="00AD31BA">
        <w:rPr>
          <w:noProof/>
        </w:rPr>
        <w:t xml:space="preserve"> 3(1).</w:t>
      </w:r>
    </w:p>
    <w:p w:rsidR="00C42B3C" w:rsidRPr="00C42B3C" w:rsidRDefault="00C42B3C" w:rsidP="00C42B3C">
      <w:pPr>
        <w:widowControl w:val="0"/>
        <w:autoSpaceDE w:val="0"/>
        <w:autoSpaceDN w:val="0"/>
        <w:adjustRightInd w:val="0"/>
        <w:ind w:left="480" w:hanging="480"/>
        <w:jc w:val="both"/>
        <w:rPr>
          <w:noProof/>
          <w:lang w:val="id-ID"/>
        </w:rPr>
      </w:pPr>
    </w:p>
    <w:p w:rsidR="00AD31BA" w:rsidRPr="00AD31BA" w:rsidRDefault="00AD31BA" w:rsidP="00C42B3C">
      <w:pPr>
        <w:widowControl w:val="0"/>
        <w:autoSpaceDE w:val="0"/>
        <w:autoSpaceDN w:val="0"/>
        <w:adjustRightInd w:val="0"/>
        <w:ind w:left="480" w:hanging="480"/>
        <w:jc w:val="both"/>
        <w:rPr>
          <w:noProof/>
        </w:rPr>
      </w:pPr>
      <w:r w:rsidRPr="00AD31BA">
        <w:rPr>
          <w:noProof/>
        </w:rPr>
        <w:t xml:space="preserve">Syukron, Ali. 2013. “Dinamika Perkembangan Perbankan Syariah Di Indonesia.” </w:t>
      </w:r>
      <w:r w:rsidRPr="00AD31BA">
        <w:rPr>
          <w:i/>
          <w:iCs/>
          <w:noProof/>
        </w:rPr>
        <w:t>Jurnal Ekonomi dan Hukum Islam</w:t>
      </w:r>
      <w:r w:rsidRPr="00AD31BA">
        <w:rPr>
          <w:noProof/>
        </w:rPr>
        <w:t xml:space="preserve"> 3(2): 28–53.</w:t>
      </w:r>
    </w:p>
    <w:p w:rsidR="00E25A1B" w:rsidRPr="00E25A1B" w:rsidRDefault="00E25A1B" w:rsidP="00C42B3C">
      <w:pPr>
        <w:widowControl w:val="0"/>
        <w:autoSpaceDE w:val="0"/>
        <w:autoSpaceDN w:val="0"/>
        <w:adjustRightInd w:val="0"/>
        <w:ind w:left="480" w:hanging="480"/>
        <w:jc w:val="both"/>
        <w:rPr>
          <w:b/>
          <w:bCs/>
          <w:iCs/>
          <w:color w:val="000000"/>
          <w:lang w:val="id-ID"/>
        </w:rPr>
      </w:pPr>
      <w:r>
        <w:rPr>
          <w:b/>
          <w:bCs/>
          <w:iCs/>
          <w:color w:val="000000"/>
          <w:lang w:val="id-ID"/>
        </w:rPr>
        <w:fldChar w:fldCharType="end"/>
      </w:r>
    </w:p>
    <w:p w:rsidR="009B0DD2" w:rsidRDefault="009B0DD2" w:rsidP="00C42B3C">
      <w:pPr>
        <w:widowControl w:val="0"/>
        <w:autoSpaceDE w:val="0"/>
        <w:autoSpaceDN w:val="0"/>
        <w:adjustRightInd w:val="0"/>
        <w:ind w:left="480" w:hanging="480"/>
        <w:jc w:val="both"/>
        <w:rPr>
          <w:bCs/>
          <w:color w:val="000000"/>
          <w:lang w:val="id-ID"/>
        </w:rPr>
      </w:pPr>
      <w:r w:rsidRPr="009D3BFD">
        <w:rPr>
          <w:bCs/>
          <w:color w:val="000000"/>
        </w:rPr>
        <w:t>Undang-Undang Republik Indonesia Nomor 7 Tahun 1992</w:t>
      </w:r>
      <w:r>
        <w:rPr>
          <w:bCs/>
          <w:color w:val="000000"/>
        </w:rPr>
        <w:t xml:space="preserve"> </w:t>
      </w:r>
      <w:r w:rsidRPr="009D3BFD">
        <w:rPr>
          <w:bCs/>
          <w:color w:val="000000"/>
        </w:rPr>
        <w:t>Tentang Perbankan</w:t>
      </w:r>
    </w:p>
    <w:p w:rsidR="009B0DD2" w:rsidRPr="009B0DD2" w:rsidRDefault="009B0DD2" w:rsidP="00C42B3C">
      <w:pPr>
        <w:widowControl w:val="0"/>
        <w:autoSpaceDE w:val="0"/>
        <w:autoSpaceDN w:val="0"/>
        <w:adjustRightInd w:val="0"/>
        <w:ind w:left="480" w:hanging="480"/>
        <w:jc w:val="both"/>
        <w:rPr>
          <w:color w:val="000000"/>
          <w:lang w:val="id-ID"/>
        </w:rPr>
      </w:pPr>
    </w:p>
    <w:p w:rsidR="009B0DD2" w:rsidRDefault="009B0DD2" w:rsidP="00C42B3C">
      <w:pPr>
        <w:widowControl w:val="0"/>
        <w:autoSpaceDE w:val="0"/>
        <w:autoSpaceDN w:val="0"/>
        <w:adjustRightInd w:val="0"/>
        <w:ind w:left="482" w:hanging="482"/>
        <w:jc w:val="both"/>
        <w:rPr>
          <w:bCs/>
          <w:color w:val="000000"/>
          <w:lang w:val="id-ID"/>
        </w:rPr>
      </w:pPr>
      <w:proofErr w:type="gramStart"/>
      <w:r>
        <w:rPr>
          <w:color w:val="000000"/>
        </w:rPr>
        <w:t>Undang-Undang Perbankan dengan UU</w:t>
      </w:r>
      <w:r w:rsidRPr="0021238A">
        <w:rPr>
          <w:color w:val="000000"/>
        </w:rPr>
        <w:t xml:space="preserve"> No. 10 Tahun 3 1998</w:t>
      </w:r>
      <w:r>
        <w:rPr>
          <w:color w:val="000000"/>
        </w:rPr>
        <w:t xml:space="preserve"> </w:t>
      </w:r>
      <w:r w:rsidRPr="0021238A">
        <w:rPr>
          <w:bCs/>
          <w:color w:val="000000"/>
        </w:rPr>
        <w:t>Tentang Perubahan Atas Undang-Undang Nomor 7 Tahun 1992 Tentang Perbankan</w:t>
      </w:r>
      <w:r>
        <w:rPr>
          <w:bCs/>
          <w:color w:val="000000"/>
        </w:rPr>
        <w:t>.</w:t>
      </w:r>
      <w:proofErr w:type="gramEnd"/>
    </w:p>
    <w:p w:rsidR="009B0DD2" w:rsidRPr="009B0DD2" w:rsidRDefault="009B0DD2" w:rsidP="00C42B3C">
      <w:pPr>
        <w:widowControl w:val="0"/>
        <w:autoSpaceDE w:val="0"/>
        <w:autoSpaceDN w:val="0"/>
        <w:adjustRightInd w:val="0"/>
        <w:ind w:left="482" w:hanging="482"/>
        <w:jc w:val="both"/>
        <w:rPr>
          <w:bCs/>
          <w:color w:val="000000"/>
          <w:lang w:val="id-ID"/>
        </w:rPr>
      </w:pPr>
    </w:p>
    <w:p w:rsidR="009B0DD2" w:rsidRDefault="009B0DD2" w:rsidP="00C42B3C">
      <w:pPr>
        <w:widowControl w:val="0"/>
        <w:autoSpaceDE w:val="0"/>
        <w:autoSpaceDN w:val="0"/>
        <w:adjustRightInd w:val="0"/>
        <w:ind w:left="482" w:hanging="482"/>
        <w:jc w:val="both"/>
        <w:rPr>
          <w:color w:val="222222"/>
          <w:shd w:val="clear" w:color="auto" w:fill="FFFFFF"/>
          <w:lang w:val="id-ID"/>
        </w:rPr>
      </w:pPr>
      <w:r w:rsidRPr="009D3BFD">
        <w:rPr>
          <w:bCs/>
          <w:color w:val="222222"/>
          <w:shd w:val="clear" w:color="auto" w:fill="FFFFFF"/>
        </w:rPr>
        <w:t>Undang-Undang Nomor 21 Tahun 2008</w:t>
      </w:r>
      <w:r w:rsidRPr="009D3BFD">
        <w:rPr>
          <w:color w:val="222222"/>
          <w:shd w:val="clear" w:color="auto" w:fill="FFFFFF"/>
        </w:rPr>
        <w:t> Tentang Perbankan Syariah</w:t>
      </w:r>
    </w:p>
    <w:p w:rsidR="009B0DD2" w:rsidRPr="009B0DD2" w:rsidRDefault="009B0DD2" w:rsidP="00C42B3C">
      <w:pPr>
        <w:widowControl w:val="0"/>
        <w:autoSpaceDE w:val="0"/>
        <w:autoSpaceDN w:val="0"/>
        <w:adjustRightInd w:val="0"/>
        <w:ind w:left="482" w:hanging="482"/>
        <w:jc w:val="both"/>
        <w:rPr>
          <w:color w:val="222222"/>
          <w:shd w:val="clear" w:color="auto" w:fill="FFFFFF"/>
          <w:lang w:val="id-ID"/>
        </w:rPr>
      </w:pPr>
      <w:bookmarkStart w:id="0" w:name="_GoBack"/>
      <w:bookmarkEnd w:id="0"/>
    </w:p>
    <w:p w:rsidR="009B0DD2" w:rsidRPr="00872F7B" w:rsidRDefault="009B0DD2" w:rsidP="00C42B3C">
      <w:pPr>
        <w:jc w:val="both"/>
        <w:rPr>
          <w:bCs/>
          <w:iCs/>
          <w:color w:val="000000"/>
        </w:rPr>
      </w:pPr>
      <w:r w:rsidRPr="00872F7B">
        <w:rPr>
          <w:bCs/>
          <w:iCs/>
          <w:color w:val="000000"/>
        </w:rPr>
        <w:t>https://ojk.go.id/id/Default.aspx</w:t>
      </w:r>
    </w:p>
    <w:sectPr w:rsidR="009B0DD2" w:rsidRPr="00872F7B" w:rsidSect="00070892">
      <w:pgSz w:w="11907" w:h="16840"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FB5" w:rsidRDefault="00AD2FB5" w:rsidP="00B43001">
      <w:r>
        <w:separator/>
      </w:r>
    </w:p>
  </w:endnote>
  <w:endnote w:type="continuationSeparator" w:id="0">
    <w:p w:rsidR="00AD2FB5" w:rsidRDefault="00AD2FB5" w:rsidP="00B43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FB5" w:rsidRDefault="00AD2FB5" w:rsidP="00B43001">
      <w:r>
        <w:separator/>
      </w:r>
    </w:p>
  </w:footnote>
  <w:footnote w:type="continuationSeparator" w:id="0">
    <w:p w:rsidR="00AD2FB5" w:rsidRDefault="00AD2FB5" w:rsidP="00B430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84E"/>
    <w:multiLevelType w:val="hybridMultilevel"/>
    <w:tmpl w:val="88DE35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F47CEF"/>
    <w:multiLevelType w:val="hybridMultilevel"/>
    <w:tmpl w:val="DF5C83AA"/>
    <w:lvl w:ilvl="0" w:tplc="0421000B">
      <w:start w:val="1"/>
      <w:numFmt w:val="bullet"/>
      <w:lvlText w:val=""/>
      <w:lvlJc w:val="left"/>
      <w:pPr>
        <w:ind w:left="720" w:hanging="360"/>
      </w:pPr>
      <w:rPr>
        <w:rFonts w:ascii="Wingdings" w:eastAsia="Times New Roman"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C110DF8"/>
    <w:multiLevelType w:val="hybridMultilevel"/>
    <w:tmpl w:val="81703E8E"/>
    <w:lvl w:ilvl="0" w:tplc="10C84B92">
      <w:start w:val="1"/>
      <w:numFmt w:val="lowerLetter"/>
      <w:lvlText w:val="%1."/>
      <w:lvlJc w:val="right"/>
      <w:pPr>
        <w:ind w:left="405" w:hanging="40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F832C2"/>
    <w:multiLevelType w:val="hybridMultilevel"/>
    <w:tmpl w:val="F146A7B6"/>
    <w:lvl w:ilvl="0" w:tplc="FF423408">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AF435D7"/>
    <w:multiLevelType w:val="hybridMultilevel"/>
    <w:tmpl w:val="34A63B36"/>
    <w:lvl w:ilvl="0" w:tplc="77849132">
      <w:start w:val="1"/>
      <w:numFmt w:val="lowerLetter"/>
      <w:lvlText w:val="%1."/>
      <w:lvlJc w:val="righ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1654FCF"/>
    <w:multiLevelType w:val="hybridMultilevel"/>
    <w:tmpl w:val="45DC7F9C"/>
    <w:lvl w:ilvl="0" w:tplc="E8C2EA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815D2E"/>
    <w:multiLevelType w:val="hybridMultilevel"/>
    <w:tmpl w:val="E2569180"/>
    <w:lvl w:ilvl="0" w:tplc="D75EE49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
    <w:nsid w:val="2A3E528C"/>
    <w:multiLevelType w:val="hybridMultilevel"/>
    <w:tmpl w:val="0D9C97C4"/>
    <w:lvl w:ilvl="0" w:tplc="4FAABE12">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2F396715"/>
    <w:multiLevelType w:val="hybridMultilevel"/>
    <w:tmpl w:val="7A9882BE"/>
    <w:lvl w:ilvl="0" w:tplc="455436C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943444"/>
    <w:multiLevelType w:val="hybridMultilevel"/>
    <w:tmpl w:val="0CF20F5E"/>
    <w:lvl w:ilvl="0" w:tplc="0421000B">
      <w:start w:val="1"/>
      <w:numFmt w:val="bullet"/>
      <w:lvlText w:val=""/>
      <w:lvlJc w:val="left"/>
      <w:pPr>
        <w:ind w:left="720" w:hanging="360"/>
      </w:pPr>
      <w:rPr>
        <w:rFonts w:ascii="Wingdings" w:eastAsia="Times New Roman"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41B74A3D"/>
    <w:multiLevelType w:val="hybridMultilevel"/>
    <w:tmpl w:val="81703E8E"/>
    <w:lvl w:ilvl="0" w:tplc="10C84B92">
      <w:start w:val="1"/>
      <w:numFmt w:val="lowerLetter"/>
      <w:lvlText w:val="%1."/>
      <w:lvlJc w:val="right"/>
      <w:pPr>
        <w:ind w:left="405" w:hanging="40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43C7918"/>
    <w:multiLevelType w:val="hybridMultilevel"/>
    <w:tmpl w:val="88DE35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A637977"/>
    <w:multiLevelType w:val="hybridMultilevel"/>
    <w:tmpl w:val="02AE45BC"/>
    <w:lvl w:ilvl="0" w:tplc="77849132">
      <w:start w:val="1"/>
      <w:numFmt w:val="lowerLetter"/>
      <w:lvlText w:val="%1."/>
      <w:lvlJc w:val="right"/>
      <w:pPr>
        <w:ind w:left="765" w:hanging="40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E4D16EA"/>
    <w:multiLevelType w:val="hybridMultilevel"/>
    <w:tmpl w:val="3236C79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52205C99"/>
    <w:multiLevelType w:val="hybridMultilevel"/>
    <w:tmpl w:val="34A63B36"/>
    <w:lvl w:ilvl="0" w:tplc="77849132">
      <w:start w:val="1"/>
      <w:numFmt w:val="lowerLetter"/>
      <w:lvlText w:val="%1."/>
      <w:lvlJc w:val="righ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3B34996"/>
    <w:multiLevelType w:val="hybridMultilevel"/>
    <w:tmpl w:val="459AB1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8D07151"/>
    <w:multiLevelType w:val="hybridMultilevel"/>
    <w:tmpl w:val="81703E8E"/>
    <w:lvl w:ilvl="0" w:tplc="10C84B92">
      <w:start w:val="1"/>
      <w:numFmt w:val="lowerLetter"/>
      <w:lvlText w:val="%1."/>
      <w:lvlJc w:val="right"/>
      <w:pPr>
        <w:ind w:left="405" w:hanging="40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BC85690"/>
    <w:multiLevelType w:val="hybridMultilevel"/>
    <w:tmpl w:val="28C21ECC"/>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5F9C4136"/>
    <w:multiLevelType w:val="hybridMultilevel"/>
    <w:tmpl w:val="56F2EC1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65275C0D"/>
    <w:multiLevelType w:val="singleLevel"/>
    <w:tmpl w:val="D838826C"/>
    <w:lvl w:ilvl="0">
      <w:start w:val="1"/>
      <w:numFmt w:val="decimal"/>
      <w:pStyle w:val="Reference"/>
      <w:lvlText w:val="[%1]"/>
      <w:lvlJc w:val="left"/>
      <w:pPr>
        <w:tabs>
          <w:tab w:val="num" w:pos="360"/>
        </w:tabs>
        <w:ind w:left="360" w:hanging="360"/>
      </w:pPr>
      <w:rPr>
        <w:rFonts w:cs="Times New Roman"/>
      </w:rPr>
    </w:lvl>
  </w:abstractNum>
  <w:abstractNum w:abstractNumId="20">
    <w:nsid w:val="681948BA"/>
    <w:multiLevelType w:val="hybridMultilevel"/>
    <w:tmpl w:val="A6D6F290"/>
    <w:lvl w:ilvl="0" w:tplc="0421000F">
      <w:start w:val="1"/>
      <w:numFmt w:val="decimal"/>
      <w:lvlText w:val="%1."/>
      <w:lvlJc w:val="left"/>
      <w:pPr>
        <w:ind w:left="1429" w:hanging="360"/>
      </w:pPr>
      <w:rPr>
        <w:rFonts w:cs="Times New Roman"/>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21">
    <w:nsid w:val="72AC0302"/>
    <w:multiLevelType w:val="hybridMultilevel"/>
    <w:tmpl w:val="2F6818FE"/>
    <w:lvl w:ilvl="0" w:tplc="E9646534">
      <w:start w:val="1"/>
      <w:numFmt w:val="lowerLetter"/>
      <w:lvlText w:val="%1."/>
      <w:lvlJc w:val="right"/>
      <w:pPr>
        <w:ind w:left="405" w:hanging="40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61438C7"/>
    <w:multiLevelType w:val="hybridMultilevel"/>
    <w:tmpl w:val="515A78CE"/>
    <w:lvl w:ilvl="0" w:tplc="6248C8D6">
      <w:start w:val="1"/>
      <w:numFmt w:val="bullet"/>
      <w:lvlText w:val=""/>
      <w:lvlJc w:val="left"/>
      <w:pPr>
        <w:ind w:left="1080" w:hanging="360"/>
      </w:pPr>
      <w:rPr>
        <w:rFonts w:ascii="Wingdings" w:eastAsia="Times New Roman" w:hAnsi="Wingdings"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num w:numId="1">
    <w:abstractNumId w:val="19"/>
  </w:num>
  <w:num w:numId="2">
    <w:abstractNumId w:val="5"/>
  </w:num>
  <w:num w:numId="3">
    <w:abstractNumId w:val="15"/>
  </w:num>
  <w:num w:numId="4">
    <w:abstractNumId w:val="12"/>
  </w:num>
  <w:num w:numId="5">
    <w:abstractNumId w:val="14"/>
  </w:num>
  <w:num w:numId="6">
    <w:abstractNumId w:val="11"/>
  </w:num>
  <w:num w:numId="7">
    <w:abstractNumId w:val="9"/>
  </w:num>
  <w:num w:numId="8">
    <w:abstractNumId w:val="1"/>
  </w:num>
  <w:num w:numId="9">
    <w:abstractNumId w:val="22"/>
  </w:num>
  <w:num w:numId="10">
    <w:abstractNumId w:val="3"/>
  </w:num>
  <w:num w:numId="11">
    <w:abstractNumId w:val="8"/>
  </w:num>
  <w:num w:numId="12">
    <w:abstractNumId w:val="10"/>
  </w:num>
  <w:num w:numId="13">
    <w:abstractNumId w:val="2"/>
  </w:num>
  <w:num w:numId="14">
    <w:abstractNumId w:val="16"/>
  </w:num>
  <w:num w:numId="15">
    <w:abstractNumId w:val="0"/>
  </w:num>
  <w:num w:numId="16">
    <w:abstractNumId w:val="21"/>
  </w:num>
  <w:num w:numId="17">
    <w:abstractNumId w:val="4"/>
  </w:num>
  <w:num w:numId="18">
    <w:abstractNumId w:val="13"/>
  </w:num>
  <w:num w:numId="19">
    <w:abstractNumId w:val="7"/>
  </w:num>
  <w:num w:numId="20">
    <w:abstractNumId w:val="6"/>
  </w:num>
  <w:num w:numId="21">
    <w:abstractNumId w:val="20"/>
  </w:num>
  <w:num w:numId="22">
    <w:abstractNumId w:val="18"/>
  </w:num>
  <w:num w:numId="23">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E1056"/>
    <w:rsid w:val="00000AF1"/>
    <w:rsid w:val="00001123"/>
    <w:rsid w:val="00002E8F"/>
    <w:rsid w:val="000040E2"/>
    <w:rsid w:val="00005AAC"/>
    <w:rsid w:val="00005B74"/>
    <w:rsid w:val="00007030"/>
    <w:rsid w:val="00007E58"/>
    <w:rsid w:val="00010D00"/>
    <w:rsid w:val="000115B4"/>
    <w:rsid w:val="00013F24"/>
    <w:rsid w:val="000143F7"/>
    <w:rsid w:val="000144DD"/>
    <w:rsid w:val="0001502D"/>
    <w:rsid w:val="000227F2"/>
    <w:rsid w:val="000250E1"/>
    <w:rsid w:val="00027017"/>
    <w:rsid w:val="00027658"/>
    <w:rsid w:val="00027898"/>
    <w:rsid w:val="00035501"/>
    <w:rsid w:val="00036256"/>
    <w:rsid w:val="00036326"/>
    <w:rsid w:val="00036842"/>
    <w:rsid w:val="000369C9"/>
    <w:rsid w:val="00036A7A"/>
    <w:rsid w:val="00037C0A"/>
    <w:rsid w:val="00042528"/>
    <w:rsid w:val="00042A2F"/>
    <w:rsid w:val="00043255"/>
    <w:rsid w:val="00044AB7"/>
    <w:rsid w:val="00044ED4"/>
    <w:rsid w:val="0004693A"/>
    <w:rsid w:val="00047B9A"/>
    <w:rsid w:val="00050142"/>
    <w:rsid w:val="00050993"/>
    <w:rsid w:val="000513C0"/>
    <w:rsid w:val="00052950"/>
    <w:rsid w:val="0005377D"/>
    <w:rsid w:val="00053BC9"/>
    <w:rsid w:val="00054700"/>
    <w:rsid w:val="00054773"/>
    <w:rsid w:val="000569DF"/>
    <w:rsid w:val="00057BB3"/>
    <w:rsid w:val="00057CDE"/>
    <w:rsid w:val="00057E74"/>
    <w:rsid w:val="0006027F"/>
    <w:rsid w:val="00060827"/>
    <w:rsid w:val="00060E51"/>
    <w:rsid w:val="00062BE5"/>
    <w:rsid w:val="00063626"/>
    <w:rsid w:val="000654AD"/>
    <w:rsid w:val="00070892"/>
    <w:rsid w:val="0007089B"/>
    <w:rsid w:val="00071000"/>
    <w:rsid w:val="00072E32"/>
    <w:rsid w:val="00073E20"/>
    <w:rsid w:val="00074205"/>
    <w:rsid w:val="00076164"/>
    <w:rsid w:val="000773B2"/>
    <w:rsid w:val="000802AE"/>
    <w:rsid w:val="00080766"/>
    <w:rsid w:val="00080B1F"/>
    <w:rsid w:val="00081FE5"/>
    <w:rsid w:val="000824F4"/>
    <w:rsid w:val="00082667"/>
    <w:rsid w:val="00082C9A"/>
    <w:rsid w:val="00083360"/>
    <w:rsid w:val="00084E74"/>
    <w:rsid w:val="000867F0"/>
    <w:rsid w:val="00086861"/>
    <w:rsid w:val="00086CC2"/>
    <w:rsid w:val="00087648"/>
    <w:rsid w:val="0009101A"/>
    <w:rsid w:val="00094C6F"/>
    <w:rsid w:val="000958A9"/>
    <w:rsid w:val="00095DE9"/>
    <w:rsid w:val="00096A46"/>
    <w:rsid w:val="00097FD8"/>
    <w:rsid w:val="000A10B2"/>
    <w:rsid w:val="000A14FF"/>
    <w:rsid w:val="000A242C"/>
    <w:rsid w:val="000A369D"/>
    <w:rsid w:val="000A4EB7"/>
    <w:rsid w:val="000A5B99"/>
    <w:rsid w:val="000A6A2D"/>
    <w:rsid w:val="000A6F9A"/>
    <w:rsid w:val="000B0056"/>
    <w:rsid w:val="000B08F1"/>
    <w:rsid w:val="000B11E5"/>
    <w:rsid w:val="000B1858"/>
    <w:rsid w:val="000B282C"/>
    <w:rsid w:val="000B394E"/>
    <w:rsid w:val="000B462D"/>
    <w:rsid w:val="000B46C5"/>
    <w:rsid w:val="000B49AB"/>
    <w:rsid w:val="000B594B"/>
    <w:rsid w:val="000C1CC7"/>
    <w:rsid w:val="000C24E9"/>
    <w:rsid w:val="000C2BDA"/>
    <w:rsid w:val="000C3B65"/>
    <w:rsid w:val="000C6F10"/>
    <w:rsid w:val="000C7366"/>
    <w:rsid w:val="000C741D"/>
    <w:rsid w:val="000D0E05"/>
    <w:rsid w:val="000D14A3"/>
    <w:rsid w:val="000D2051"/>
    <w:rsid w:val="000D30AE"/>
    <w:rsid w:val="000D4AAB"/>
    <w:rsid w:val="000D4F09"/>
    <w:rsid w:val="000D5120"/>
    <w:rsid w:val="000D578C"/>
    <w:rsid w:val="000D5A04"/>
    <w:rsid w:val="000D6696"/>
    <w:rsid w:val="000D6DFC"/>
    <w:rsid w:val="000D7046"/>
    <w:rsid w:val="000D750F"/>
    <w:rsid w:val="000E07A1"/>
    <w:rsid w:val="000E0F3C"/>
    <w:rsid w:val="000E129B"/>
    <w:rsid w:val="000E2342"/>
    <w:rsid w:val="000E2AA2"/>
    <w:rsid w:val="000E32E2"/>
    <w:rsid w:val="000E3E44"/>
    <w:rsid w:val="000E6DA3"/>
    <w:rsid w:val="000E76AA"/>
    <w:rsid w:val="000E7F19"/>
    <w:rsid w:val="000F0639"/>
    <w:rsid w:val="000F0D7F"/>
    <w:rsid w:val="000F3CB3"/>
    <w:rsid w:val="000F46D8"/>
    <w:rsid w:val="000F62F5"/>
    <w:rsid w:val="000F6954"/>
    <w:rsid w:val="000F6E39"/>
    <w:rsid w:val="001013F7"/>
    <w:rsid w:val="001022A9"/>
    <w:rsid w:val="00102D5F"/>
    <w:rsid w:val="00103F9F"/>
    <w:rsid w:val="0010423E"/>
    <w:rsid w:val="00104767"/>
    <w:rsid w:val="00106041"/>
    <w:rsid w:val="00106821"/>
    <w:rsid w:val="00107414"/>
    <w:rsid w:val="001101EE"/>
    <w:rsid w:val="00110CAE"/>
    <w:rsid w:val="00111A29"/>
    <w:rsid w:val="00112779"/>
    <w:rsid w:val="00115674"/>
    <w:rsid w:val="00115E01"/>
    <w:rsid w:val="001173B8"/>
    <w:rsid w:val="00117B66"/>
    <w:rsid w:val="0012125D"/>
    <w:rsid w:val="001213A4"/>
    <w:rsid w:val="00121895"/>
    <w:rsid w:val="00122B60"/>
    <w:rsid w:val="001234C6"/>
    <w:rsid w:val="00123904"/>
    <w:rsid w:val="00123C06"/>
    <w:rsid w:val="00124294"/>
    <w:rsid w:val="00124AEC"/>
    <w:rsid w:val="0013059F"/>
    <w:rsid w:val="001307D6"/>
    <w:rsid w:val="00131882"/>
    <w:rsid w:val="0013219E"/>
    <w:rsid w:val="00132DAE"/>
    <w:rsid w:val="00135465"/>
    <w:rsid w:val="00135A1F"/>
    <w:rsid w:val="00135D09"/>
    <w:rsid w:val="00136AEB"/>
    <w:rsid w:val="00137437"/>
    <w:rsid w:val="0013767D"/>
    <w:rsid w:val="00137B68"/>
    <w:rsid w:val="001408EA"/>
    <w:rsid w:val="00140DEC"/>
    <w:rsid w:val="00141334"/>
    <w:rsid w:val="00142D6F"/>
    <w:rsid w:val="001431B7"/>
    <w:rsid w:val="001448E8"/>
    <w:rsid w:val="00146262"/>
    <w:rsid w:val="00147967"/>
    <w:rsid w:val="00151EA7"/>
    <w:rsid w:val="001523FD"/>
    <w:rsid w:val="0015298E"/>
    <w:rsid w:val="00152EBD"/>
    <w:rsid w:val="00152F77"/>
    <w:rsid w:val="00153357"/>
    <w:rsid w:val="00153AD5"/>
    <w:rsid w:val="00153B80"/>
    <w:rsid w:val="00153D5D"/>
    <w:rsid w:val="001556EE"/>
    <w:rsid w:val="0015687F"/>
    <w:rsid w:val="00156DF9"/>
    <w:rsid w:val="001622C4"/>
    <w:rsid w:val="0016433A"/>
    <w:rsid w:val="00165467"/>
    <w:rsid w:val="0016569D"/>
    <w:rsid w:val="0016670F"/>
    <w:rsid w:val="00166D31"/>
    <w:rsid w:val="00167705"/>
    <w:rsid w:val="001705BA"/>
    <w:rsid w:val="00172909"/>
    <w:rsid w:val="00173508"/>
    <w:rsid w:val="00173F39"/>
    <w:rsid w:val="00176361"/>
    <w:rsid w:val="001765D7"/>
    <w:rsid w:val="001770BA"/>
    <w:rsid w:val="0017752F"/>
    <w:rsid w:val="001808EB"/>
    <w:rsid w:val="001819BE"/>
    <w:rsid w:val="001835FE"/>
    <w:rsid w:val="001837DF"/>
    <w:rsid w:val="001865CA"/>
    <w:rsid w:val="00186BBB"/>
    <w:rsid w:val="00186DC2"/>
    <w:rsid w:val="00190315"/>
    <w:rsid w:val="00190515"/>
    <w:rsid w:val="00190758"/>
    <w:rsid w:val="0019278E"/>
    <w:rsid w:val="001932A6"/>
    <w:rsid w:val="0019383C"/>
    <w:rsid w:val="00193D7E"/>
    <w:rsid w:val="00194EF4"/>
    <w:rsid w:val="00195D37"/>
    <w:rsid w:val="0019668D"/>
    <w:rsid w:val="001978B7"/>
    <w:rsid w:val="00197DBD"/>
    <w:rsid w:val="001A23A3"/>
    <w:rsid w:val="001A4095"/>
    <w:rsid w:val="001A4222"/>
    <w:rsid w:val="001A436D"/>
    <w:rsid w:val="001A495E"/>
    <w:rsid w:val="001A4EA0"/>
    <w:rsid w:val="001A6109"/>
    <w:rsid w:val="001A63A7"/>
    <w:rsid w:val="001A6BF0"/>
    <w:rsid w:val="001A77FF"/>
    <w:rsid w:val="001A78F3"/>
    <w:rsid w:val="001A7E07"/>
    <w:rsid w:val="001B035B"/>
    <w:rsid w:val="001B0EA4"/>
    <w:rsid w:val="001B18D3"/>
    <w:rsid w:val="001B26F6"/>
    <w:rsid w:val="001B296B"/>
    <w:rsid w:val="001B4062"/>
    <w:rsid w:val="001B5F3C"/>
    <w:rsid w:val="001B650B"/>
    <w:rsid w:val="001B73D7"/>
    <w:rsid w:val="001B74FB"/>
    <w:rsid w:val="001B776B"/>
    <w:rsid w:val="001B7CF5"/>
    <w:rsid w:val="001C03C3"/>
    <w:rsid w:val="001C0502"/>
    <w:rsid w:val="001C08F1"/>
    <w:rsid w:val="001C0E56"/>
    <w:rsid w:val="001C2202"/>
    <w:rsid w:val="001C2671"/>
    <w:rsid w:val="001C4073"/>
    <w:rsid w:val="001C5B07"/>
    <w:rsid w:val="001C6715"/>
    <w:rsid w:val="001C7A78"/>
    <w:rsid w:val="001D128A"/>
    <w:rsid w:val="001D1422"/>
    <w:rsid w:val="001D1A97"/>
    <w:rsid w:val="001D3A8D"/>
    <w:rsid w:val="001D44AF"/>
    <w:rsid w:val="001D5736"/>
    <w:rsid w:val="001D74EB"/>
    <w:rsid w:val="001D7EAC"/>
    <w:rsid w:val="001E16B5"/>
    <w:rsid w:val="001E185E"/>
    <w:rsid w:val="001E186D"/>
    <w:rsid w:val="001E345F"/>
    <w:rsid w:val="001E4CA6"/>
    <w:rsid w:val="001E63D4"/>
    <w:rsid w:val="001E6B60"/>
    <w:rsid w:val="001E6DB0"/>
    <w:rsid w:val="001E72DE"/>
    <w:rsid w:val="001E7BE0"/>
    <w:rsid w:val="001E7FF8"/>
    <w:rsid w:val="001F00F8"/>
    <w:rsid w:val="001F0D7E"/>
    <w:rsid w:val="001F1E40"/>
    <w:rsid w:val="001F6FB7"/>
    <w:rsid w:val="00201C7B"/>
    <w:rsid w:val="00203115"/>
    <w:rsid w:val="00204748"/>
    <w:rsid w:val="002068B5"/>
    <w:rsid w:val="0020772A"/>
    <w:rsid w:val="00207C1E"/>
    <w:rsid w:val="0021081C"/>
    <w:rsid w:val="00211E7E"/>
    <w:rsid w:val="00213840"/>
    <w:rsid w:val="00213A58"/>
    <w:rsid w:val="0021420B"/>
    <w:rsid w:val="0021481F"/>
    <w:rsid w:val="00216536"/>
    <w:rsid w:val="00216CA0"/>
    <w:rsid w:val="00217B88"/>
    <w:rsid w:val="00220D20"/>
    <w:rsid w:val="00221513"/>
    <w:rsid w:val="00221719"/>
    <w:rsid w:val="0022247C"/>
    <w:rsid w:val="00223B4D"/>
    <w:rsid w:val="00223D41"/>
    <w:rsid w:val="00224644"/>
    <w:rsid w:val="00226081"/>
    <w:rsid w:val="0022667B"/>
    <w:rsid w:val="00226BDF"/>
    <w:rsid w:val="002274CE"/>
    <w:rsid w:val="00227CE7"/>
    <w:rsid w:val="00230923"/>
    <w:rsid w:val="00232891"/>
    <w:rsid w:val="00232E30"/>
    <w:rsid w:val="00233384"/>
    <w:rsid w:val="00234480"/>
    <w:rsid w:val="00234545"/>
    <w:rsid w:val="002347B1"/>
    <w:rsid w:val="00236261"/>
    <w:rsid w:val="002376AD"/>
    <w:rsid w:val="002417DE"/>
    <w:rsid w:val="00242085"/>
    <w:rsid w:val="0024371F"/>
    <w:rsid w:val="002437E3"/>
    <w:rsid w:val="00243C79"/>
    <w:rsid w:val="00243CD0"/>
    <w:rsid w:val="00243D43"/>
    <w:rsid w:val="00245800"/>
    <w:rsid w:val="0024665E"/>
    <w:rsid w:val="00247A97"/>
    <w:rsid w:val="00250301"/>
    <w:rsid w:val="002509E8"/>
    <w:rsid w:val="00250CAB"/>
    <w:rsid w:val="00250E16"/>
    <w:rsid w:val="002515D7"/>
    <w:rsid w:val="00252E52"/>
    <w:rsid w:val="002567DD"/>
    <w:rsid w:val="00257C1A"/>
    <w:rsid w:val="0026081D"/>
    <w:rsid w:val="002619DE"/>
    <w:rsid w:val="00261CB2"/>
    <w:rsid w:val="00261F2F"/>
    <w:rsid w:val="0026209E"/>
    <w:rsid w:val="002625B0"/>
    <w:rsid w:val="00262BED"/>
    <w:rsid w:val="0026439A"/>
    <w:rsid w:val="00266738"/>
    <w:rsid w:val="0027196B"/>
    <w:rsid w:val="00271EFF"/>
    <w:rsid w:val="00274DFC"/>
    <w:rsid w:val="00275266"/>
    <w:rsid w:val="00275939"/>
    <w:rsid w:val="002762AB"/>
    <w:rsid w:val="00276F21"/>
    <w:rsid w:val="002776A6"/>
    <w:rsid w:val="002814ED"/>
    <w:rsid w:val="00281EFF"/>
    <w:rsid w:val="00283B57"/>
    <w:rsid w:val="00283F43"/>
    <w:rsid w:val="00283FA6"/>
    <w:rsid w:val="00284412"/>
    <w:rsid w:val="00286121"/>
    <w:rsid w:val="00287D04"/>
    <w:rsid w:val="0029032B"/>
    <w:rsid w:val="00291BB9"/>
    <w:rsid w:val="002922A0"/>
    <w:rsid w:val="00294388"/>
    <w:rsid w:val="00294B88"/>
    <w:rsid w:val="00294E1F"/>
    <w:rsid w:val="00296228"/>
    <w:rsid w:val="002967B1"/>
    <w:rsid w:val="0029703B"/>
    <w:rsid w:val="00297182"/>
    <w:rsid w:val="002A0106"/>
    <w:rsid w:val="002A0607"/>
    <w:rsid w:val="002A0672"/>
    <w:rsid w:val="002A0A32"/>
    <w:rsid w:val="002A42C2"/>
    <w:rsid w:val="002A455F"/>
    <w:rsid w:val="002A5A92"/>
    <w:rsid w:val="002B0172"/>
    <w:rsid w:val="002B2A30"/>
    <w:rsid w:val="002B2D49"/>
    <w:rsid w:val="002B2EC5"/>
    <w:rsid w:val="002B3142"/>
    <w:rsid w:val="002B3FAD"/>
    <w:rsid w:val="002B4A30"/>
    <w:rsid w:val="002B665E"/>
    <w:rsid w:val="002B6DA7"/>
    <w:rsid w:val="002B6F18"/>
    <w:rsid w:val="002B719B"/>
    <w:rsid w:val="002B736E"/>
    <w:rsid w:val="002B7B34"/>
    <w:rsid w:val="002C0130"/>
    <w:rsid w:val="002C07E9"/>
    <w:rsid w:val="002C10FB"/>
    <w:rsid w:val="002C29D9"/>
    <w:rsid w:val="002C3534"/>
    <w:rsid w:val="002C37CA"/>
    <w:rsid w:val="002C4ABA"/>
    <w:rsid w:val="002D3D7B"/>
    <w:rsid w:val="002D4B96"/>
    <w:rsid w:val="002D4BF3"/>
    <w:rsid w:val="002D5B08"/>
    <w:rsid w:val="002D640A"/>
    <w:rsid w:val="002D6E46"/>
    <w:rsid w:val="002D6E96"/>
    <w:rsid w:val="002D76D6"/>
    <w:rsid w:val="002E0F80"/>
    <w:rsid w:val="002E1A23"/>
    <w:rsid w:val="002E2565"/>
    <w:rsid w:val="002E6E6D"/>
    <w:rsid w:val="002E7422"/>
    <w:rsid w:val="002E7AEE"/>
    <w:rsid w:val="002E7B6A"/>
    <w:rsid w:val="002F084D"/>
    <w:rsid w:val="002F2213"/>
    <w:rsid w:val="002F22B4"/>
    <w:rsid w:val="002F2DE3"/>
    <w:rsid w:val="002F4846"/>
    <w:rsid w:val="002F5DF4"/>
    <w:rsid w:val="002F6B24"/>
    <w:rsid w:val="00300B79"/>
    <w:rsid w:val="00300FA0"/>
    <w:rsid w:val="0030295C"/>
    <w:rsid w:val="003038C7"/>
    <w:rsid w:val="003040B8"/>
    <w:rsid w:val="00307362"/>
    <w:rsid w:val="00307689"/>
    <w:rsid w:val="00307B0A"/>
    <w:rsid w:val="003106D5"/>
    <w:rsid w:val="00310CC9"/>
    <w:rsid w:val="00311064"/>
    <w:rsid w:val="0031246D"/>
    <w:rsid w:val="00312E9B"/>
    <w:rsid w:val="003130B2"/>
    <w:rsid w:val="003136DF"/>
    <w:rsid w:val="00314723"/>
    <w:rsid w:val="00315090"/>
    <w:rsid w:val="00316009"/>
    <w:rsid w:val="00320F87"/>
    <w:rsid w:val="00321377"/>
    <w:rsid w:val="0032208D"/>
    <w:rsid w:val="00323432"/>
    <w:rsid w:val="00324969"/>
    <w:rsid w:val="0032585A"/>
    <w:rsid w:val="00327AEE"/>
    <w:rsid w:val="00327CD2"/>
    <w:rsid w:val="00330A31"/>
    <w:rsid w:val="00331897"/>
    <w:rsid w:val="0033309E"/>
    <w:rsid w:val="00333F10"/>
    <w:rsid w:val="00334678"/>
    <w:rsid w:val="00336147"/>
    <w:rsid w:val="003364EF"/>
    <w:rsid w:val="00336945"/>
    <w:rsid w:val="003377C9"/>
    <w:rsid w:val="00341280"/>
    <w:rsid w:val="00341777"/>
    <w:rsid w:val="00341853"/>
    <w:rsid w:val="00341AE4"/>
    <w:rsid w:val="00342DF0"/>
    <w:rsid w:val="003456B0"/>
    <w:rsid w:val="003470E6"/>
    <w:rsid w:val="00347AD7"/>
    <w:rsid w:val="00350319"/>
    <w:rsid w:val="0035043E"/>
    <w:rsid w:val="0035094B"/>
    <w:rsid w:val="00350BE5"/>
    <w:rsid w:val="00350E4B"/>
    <w:rsid w:val="0035178D"/>
    <w:rsid w:val="0035178F"/>
    <w:rsid w:val="00351A08"/>
    <w:rsid w:val="00352DB4"/>
    <w:rsid w:val="0035325C"/>
    <w:rsid w:val="00354667"/>
    <w:rsid w:val="00355161"/>
    <w:rsid w:val="0035528B"/>
    <w:rsid w:val="00355966"/>
    <w:rsid w:val="00357F82"/>
    <w:rsid w:val="003618A1"/>
    <w:rsid w:val="00361BED"/>
    <w:rsid w:val="00363D21"/>
    <w:rsid w:val="00364016"/>
    <w:rsid w:val="003648C9"/>
    <w:rsid w:val="00364C5C"/>
    <w:rsid w:val="00365298"/>
    <w:rsid w:val="00365DC3"/>
    <w:rsid w:val="003664AF"/>
    <w:rsid w:val="00367C2B"/>
    <w:rsid w:val="00370BD7"/>
    <w:rsid w:val="00371AFD"/>
    <w:rsid w:val="00372BF2"/>
    <w:rsid w:val="003738DC"/>
    <w:rsid w:val="00373CFB"/>
    <w:rsid w:val="00375BEA"/>
    <w:rsid w:val="00375DD3"/>
    <w:rsid w:val="00376E5A"/>
    <w:rsid w:val="0037701F"/>
    <w:rsid w:val="00377052"/>
    <w:rsid w:val="003779A3"/>
    <w:rsid w:val="00382199"/>
    <w:rsid w:val="003826B4"/>
    <w:rsid w:val="00382FAB"/>
    <w:rsid w:val="0038347E"/>
    <w:rsid w:val="0038455F"/>
    <w:rsid w:val="0038464C"/>
    <w:rsid w:val="003846D4"/>
    <w:rsid w:val="003862E0"/>
    <w:rsid w:val="00390B6E"/>
    <w:rsid w:val="00392430"/>
    <w:rsid w:val="003930EF"/>
    <w:rsid w:val="00393F5A"/>
    <w:rsid w:val="00396ABE"/>
    <w:rsid w:val="00397569"/>
    <w:rsid w:val="00397BDF"/>
    <w:rsid w:val="003A1567"/>
    <w:rsid w:val="003A21BE"/>
    <w:rsid w:val="003A5FD9"/>
    <w:rsid w:val="003A5FF3"/>
    <w:rsid w:val="003B0803"/>
    <w:rsid w:val="003B0B5B"/>
    <w:rsid w:val="003B18D6"/>
    <w:rsid w:val="003B2544"/>
    <w:rsid w:val="003B37C6"/>
    <w:rsid w:val="003B3E2A"/>
    <w:rsid w:val="003B4EE8"/>
    <w:rsid w:val="003B5110"/>
    <w:rsid w:val="003B51F7"/>
    <w:rsid w:val="003B6D67"/>
    <w:rsid w:val="003B7716"/>
    <w:rsid w:val="003C11B8"/>
    <w:rsid w:val="003C17E6"/>
    <w:rsid w:val="003C1B6C"/>
    <w:rsid w:val="003C1BAF"/>
    <w:rsid w:val="003C1CE4"/>
    <w:rsid w:val="003C1EEC"/>
    <w:rsid w:val="003C262E"/>
    <w:rsid w:val="003C3745"/>
    <w:rsid w:val="003C4384"/>
    <w:rsid w:val="003C45FB"/>
    <w:rsid w:val="003C4AF0"/>
    <w:rsid w:val="003C6116"/>
    <w:rsid w:val="003C6BAE"/>
    <w:rsid w:val="003C6F90"/>
    <w:rsid w:val="003C779A"/>
    <w:rsid w:val="003C7883"/>
    <w:rsid w:val="003C7D8A"/>
    <w:rsid w:val="003D045D"/>
    <w:rsid w:val="003D11D0"/>
    <w:rsid w:val="003D17FD"/>
    <w:rsid w:val="003D243F"/>
    <w:rsid w:val="003D3694"/>
    <w:rsid w:val="003D4099"/>
    <w:rsid w:val="003D4425"/>
    <w:rsid w:val="003D45A0"/>
    <w:rsid w:val="003D4C03"/>
    <w:rsid w:val="003D526B"/>
    <w:rsid w:val="003D5D3D"/>
    <w:rsid w:val="003D693D"/>
    <w:rsid w:val="003D7304"/>
    <w:rsid w:val="003D73DD"/>
    <w:rsid w:val="003D78BC"/>
    <w:rsid w:val="003E00C9"/>
    <w:rsid w:val="003E0246"/>
    <w:rsid w:val="003E0357"/>
    <w:rsid w:val="003E0AFB"/>
    <w:rsid w:val="003E0DB3"/>
    <w:rsid w:val="003E123E"/>
    <w:rsid w:val="003E1547"/>
    <w:rsid w:val="003E3904"/>
    <w:rsid w:val="003E53C7"/>
    <w:rsid w:val="003E7D3C"/>
    <w:rsid w:val="003F154E"/>
    <w:rsid w:val="003F3649"/>
    <w:rsid w:val="003F4BAD"/>
    <w:rsid w:val="003F4D29"/>
    <w:rsid w:val="003F6D86"/>
    <w:rsid w:val="003F7C30"/>
    <w:rsid w:val="00400CDF"/>
    <w:rsid w:val="00402AF9"/>
    <w:rsid w:val="00404B5B"/>
    <w:rsid w:val="00405201"/>
    <w:rsid w:val="00405F80"/>
    <w:rsid w:val="00407FA6"/>
    <w:rsid w:val="004108AB"/>
    <w:rsid w:val="0041103A"/>
    <w:rsid w:val="00412631"/>
    <w:rsid w:val="00413137"/>
    <w:rsid w:val="004155EB"/>
    <w:rsid w:val="00415734"/>
    <w:rsid w:val="0041583D"/>
    <w:rsid w:val="00415CE2"/>
    <w:rsid w:val="00416DCE"/>
    <w:rsid w:val="00417DA0"/>
    <w:rsid w:val="004200BB"/>
    <w:rsid w:val="00421DDA"/>
    <w:rsid w:val="00421E88"/>
    <w:rsid w:val="004224BA"/>
    <w:rsid w:val="00424E9D"/>
    <w:rsid w:val="00425117"/>
    <w:rsid w:val="0042633A"/>
    <w:rsid w:val="00426BA3"/>
    <w:rsid w:val="0042799B"/>
    <w:rsid w:val="0043019E"/>
    <w:rsid w:val="00430FE4"/>
    <w:rsid w:val="00431DF8"/>
    <w:rsid w:val="004328E7"/>
    <w:rsid w:val="004332FE"/>
    <w:rsid w:val="00433ABB"/>
    <w:rsid w:val="00433AF6"/>
    <w:rsid w:val="00434480"/>
    <w:rsid w:val="00434FBE"/>
    <w:rsid w:val="0043512A"/>
    <w:rsid w:val="00436326"/>
    <w:rsid w:val="004406DF"/>
    <w:rsid w:val="00443130"/>
    <w:rsid w:val="00443632"/>
    <w:rsid w:val="00443AD1"/>
    <w:rsid w:val="00444190"/>
    <w:rsid w:val="00444217"/>
    <w:rsid w:val="00444F33"/>
    <w:rsid w:val="00445A79"/>
    <w:rsid w:val="004464D2"/>
    <w:rsid w:val="0044692C"/>
    <w:rsid w:val="00446A86"/>
    <w:rsid w:val="004529BC"/>
    <w:rsid w:val="004557A7"/>
    <w:rsid w:val="004571EA"/>
    <w:rsid w:val="00461353"/>
    <w:rsid w:val="0046165D"/>
    <w:rsid w:val="00461BE4"/>
    <w:rsid w:val="00462014"/>
    <w:rsid w:val="00463CA9"/>
    <w:rsid w:val="004643C3"/>
    <w:rsid w:val="00464A83"/>
    <w:rsid w:val="00464C6C"/>
    <w:rsid w:val="00465991"/>
    <w:rsid w:val="00465A3A"/>
    <w:rsid w:val="00465FFB"/>
    <w:rsid w:val="00470A1C"/>
    <w:rsid w:val="00470CDD"/>
    <w:rsid w:val="00471234"/>
    <w:rsid w:val="004714B0"/>
    <w:rsid w:val="00471689"/>
    <w:rsid w:val="004716A0"/>
    <w:rsid w:val="00472FC2"/>
    <w:rsid w:val="00474556"/>
    <w:rsid w:val="0047499B"/>
    <w:rsid w:val="00475738"/>
    <w:rsid w:val="00475F94"/>
    <w:rsid w:val="00476090"/>
    <w:rsid w:val="004804C5"/>
    <w:rsid w:val="004815FE"/>
    <w:rsid w:val="004821AC"/>
    <w:rsid w:val="00484187"/>
    <w:rsid w:val="00484454"/>
    <w:rsid w:val="004844CB"/>
    <w:rsid w:val="00484A25"/>
    <w:rsid w:val="004873B3"/>
    <w:rsid w:val="00487414"/>
    <w:rsid w:val="00490D48"/>
    <w:rsid w:val="00495C33"/>
    <w:rsid w:val="004967B0"/>
    <w:rsid w:val="004974ED"/>
    <w:rsid w:val="00497C11"/>
    <w:rsid w:val="00497E63"/>
    <w:rsid w:val="004A1978"/>
    <w:rsid w:val="004A3852"/>
    <w:rsid w:val="004A4E9E"/>
    <w:rsid w:val="004A78AA"/>
    <w:rsid w:val="004A7C67"/>
    <w:rsid w:val="004B0577"/>
    <w:rsid w:val="004B0DBA"/>
    <w:rsid w:val="004B18B0"/>
    <w:rsid w:val="004B4474"/>
    <w:rsid w:val="004B44D7"/>
    <w:rsid w:val="004B4DDC"/>
    <w:rsid w:val="004B636D"/>
    <w:rsid w:val="004B7393"/>
    <w:rsid w:val="004C05D9"/>
    <w:rsid w:val="004C302D"/>
    <w:rsid w:val="004C3AB1"/>
    <w:rsid w:val="004C4AFE"/>
    <w:rsid w:val="004C5CA2"/>
    <w:rsid w:val="004C5EA9"/>
    <w:rsid w:val="004C61F2"/>
    <w:rsid w:val="004C6D93"/>
    <w:rsid w:val="004C6E67"/>
    <w:rsid w:val="004D08CF"/>
    <w:rsid w:val="004D0C0E"/>
    <w:rsid w:val="004D19F9"/>
    <w:rsid w:val="004D2AB6"/>
    <w:rsid w:val="004D38BD"/>
    <w:rsid w:val="004D3D7A"/>
    <w:rsid w:val="004D414B"/>
    <w:rsid w:val="004D50FC"/>
    <w:rsid w:val="004D5BA3"/>
    <w:rsid w:val="004D5CE9"/>
    <w:rsid w:val="004D6C4E"/>
    <w:rsid w:val="004E17FA"/>
    <w:rsid w:val="004E1B1F"/>
    <w:rsid w:val="004E2877"/>
    <w:rsid w:val="004E2E9F"/>
    <w:rsid w:val="004E34D1"/>
    <w:rsid w:val="004E47D4"/>
    <w:rsid w:val="004E488D"/>
    <w:rsid w:val="004E4A7A"/>
    <w:rsid w:val="004E538B"/>
    <w:rsid w:val="004E563C"/>
    <w:rsid w:val="004E5720"/>
    <w:rsid w:val="004E5E6C"/>
    <w:rsid w:val="004E66A2"/>
    <w:rsid w:val="004F04D5"/>
    <w:rsid w:val="004F12F0"/>
    <w:rsid w:val="004F2E99"/>
    <w:rsid w:val="004F52F5"/>
    <w:rsid w:val="004F564D"/>
    <w:rsid w:val="004F61A7"/>
    <w:rsid w:val="004F6D01"/>
    <w:rsid w:val="004F6D82"/>
    <w:rsid w:val="004F74AE"/>
    <w:rsid w:val="004F752B"/>
    <w:rsid w:val="004F7707"/>
    <w:rsid w:val="005001E8"/>
    <w:rsid w:val="00500806"/>
    <w:rsid w:val="00500DE0"/>
    <w:rsid w:val="0050199B"/>
    <w:rsid w:val="00502DE7"/>
    <w:rsid w:val="005032D2"/>
    <w:rsid w:val="005035B4"/>
    <w:rsid w:val="005036CE"/>
    <w:rsid w:val="00504283"/>
    <w:rsid w:val="0050574D"/>
    <w:rsid w:val="00506E47"/>
    <w:rsid w:val="0050721C"/>
    <w:rsid w:val="00510BF2"/>
    <w:rsid w:val="00510E38"/>
    <w:rsid w:val="005115F5"/>
    <w:rsid w:val="00512546"/>
    <w:rsid w:val="005137A5"/>
    <w:rsid w:val="00514154"/>
    <w:rsid w:val="005141DA"/>
    <w:rsid w:val="005142E2"/>
    <w:rsid w:val="0051498A"/>
    <w:rsid w:val="00515C50"/>
    <w:rsid w:val="00516BB5"/>
    <w:rsid w:val="00516C3C"/>
    <w:rsid w:val="005203AB"/>
    <w:rsid w:val="00520755"/>
    <w:rsid w:val="00520DD1"/>
    <w:rsid w:val="005230DD"/>
    <w:rsid w:val="00523156"/>
    <w:rsid w:val="0052347B"/>
    <w:rsid w:val="005239E2"/>
    <w:rsid w:val="00526C9C"/>
    <w:rsid w:val="00527553"/>
    <w:rsid w:val="005306C1"/>
    <w:rsid w:val="005307F6"/>
    <w:rsid w:val="005316B3"/>
    <w:rsid w:val="0053337F"/>
    <w:rsid w:val="00533773"/>
    <w:rsid w:val="00533E90"/>
    <w:rsid w:val="0053401F"/>
    <w:rsid w:val="00534773"/>
    <w:rsid w:val="00535BC0"/>
    <w:rsid w:val="005364AD"/>
    <w:rsid w:val="005402CB"/>
    <w:rsid w:val="00540603"/>
    <w:rsid w:val="00541137"/>
    <w:rsid w:val="00542DFB"/>
    <w:rsid w:val="00544B93"/>
    <w:rsid w:val="00544ED8"/>
    <w:rsid w:val="00544F90"/>
    <w:rsid w:val="0054610D"/>
    <w:rsid w:val="00546A58"/>
    <w:rsid w:val="0054734B"/>
    <w:rsid w:val="00550E0C"/>
    <w:rsid w:val="005527D8"/>
    <w:rsid w:val="00552F79"/>
    <w:rsid w:val="00553909"/>
    <w:rsid w:val="00553B36"/>
    <w:rsid w:val="00554EE1"/>
    <w:rsid w:val="00555A4B"/>
    <w:rsid w:val="00556092"/>
    <w:rsid w:val="00556303"/>
    <w:rsid w:val="00556538"/>
    <w:rsid w:val="00556E7C"/>
    <w:rsid w:val="00557465"/>
    <w:rsid w:val="00557D86"/>
    <w:rsid w:val="00557E7E"/>
    <w:rsid w:val="00560283"/>
    <w:rsid w:val="00560A8F"/>
    <w:rsid w:val="00560FE1"/>
    <w:rsid w:val="0056257C"/>
    <w:rsid w:val="00567791"/>
    <w:rsid w:val="0057056C"/>
    <w:rsid w:val="00570E46"/>
    <w:rsid w:val="00571375"/>
    <w:rsid w:val="00571901"/>
    <w:rsid w:val="005726FA"/>
    <w:rsid w:val="00572A5C"/>
    <w:rsid w:val="00572D37"/>
    <w:rsid w:val="005732B6"/>
    <w:rsid w:val="0057331D"/>
    <w:rsid w:val="00573791"/>
    <w:rsid w:val="005737D1"/>
    <w:rsid w:val="00573ED8"/>
    <w:rsid w:val="00574DAB"/>
    <w:rsid w:val="00575084"/>
    <w:rsid w:val="00575E5A"/>
    <w:rsid w:val="005765A7"/>
    <w:rsid w:val="005770AB"/>
    <w:rsid w:val="00580B84"/>
    <w:rsid w:val="0058264C"/>
    <w:rsid w:val="005826FB"/>
    <w:rsid w:val="00582B9C"/>
    <w:rsid w:val="00583401"/>
    <w:rsid w:val="00583F26"/>
    <w:rsid w:val="0058588B"/>
    <w:rsid w:val="00586387"/>
    <w:rsid w:val="0059020D"/>
    <w:rsid w:val="0059040F"/>
    <w:rsid w:val="005904E8"/>
    <w:rsid w:val="00590ADC"/>
    <w:rsid w:val="00591F94"/>
    <w:rsid w:val="0059250A"/>
    <w:rsid w:val="00592731"/>
    <w:rsid w:val="00593D8C"/>
    <w:rsid w:val="00593E6D"/>
    <w:rsid w:val="0059436F"/>
    <w:rsid w:val="00594DB2"/>
    <w:rsid w:val="005960ED"/>
    <w:rsid w:val="00596A30"/>
    <w:rsid w:val="005A0167"/>
    <w:rsid w:val="005A0A77"/>
    <w:rsid w:val="005A135B"/>
    <w:rsid w:val="005A1AAD"/>
    <w:rsid w:val="005A27E3"/>
    <w:rsid w:val="005A2AA8"/>
    <w:rsid w:val="005A3937"/>
    <w:rsid w:val="005A3D12"/>
    <w:rsid w:val="005A5559"/>
    <w:rsid w:val="005A564A"/>
    <w:rsid w:val="005A6832"/>
    <w:rsid w:val="005B0651"/>
    <w:rsid w:val="005B15D8"/>
    <w:rsid w:val="005B1865"/>
    <w:rsid w:val="005B1A37"/>
    <w:rsid w:val="005B201B"/>
    <w:rsid w:val="005B336E"/>
    <w:rsid w:val="005B481A"/>
    <w:rsid w:val="005B533A"/>
    <w:rsid w:val="005B7BE5"/>
    <w:rsid w:val="005C0862"/>
    <w:rsid w:val="005C0DB4"/>
    <w:rsid w:val="005C0DE1"/>
    <w:rsid w:val="005C15C7"/>
    <w:rsid w:val="005C1E4D"/>
    <w:rsid w:val="005C2F38"/>
    <w:rsid w:val="005C3C2A"/>
    <w:rsid w:val="005C4029"/>
    <w:rsid w:val="005C5CBF"/>
    <w:rsid w:val="005C627C"/>
    <w:rsid w:val="005C6FC5"/>
    <w:rsid w:val="005C7E5F"/>
    <w:rsid w:val="005D0E6C"/>
    <w:rsid w:val="005D1145"/>
    <w:rsid w:val="005D1DD8"/>
    <w:rsid w:val="005D2B54"/>
    <w:rsid w:val="005D3481"/>
    <w:rsid w:val="005D36EA"/>
    <w:rsid w:val="005D46C8"/>
    <w:rsid w:val="005D4E81"/>
    <w:rsid w:val="005D5099"/>
    <w:rsid w:val="005D58F7"/>
    <w:rsid w:val="005D5CF0"/>
    <w:rsid w:val="005D6127"/>
    <w:rsid w:val="005D61DE"/>
    <w:rsid w:val="005E1E47"/>
    <w:rsid w:val="005E236F"/>
    <w:rsid w:val="005E259D"/>
    <w:rsid w:val="005E3A7A"/>
    <w:rsid w:val="005E6805"/>
    <w:rsid w:val="005E783A"/>
    <w:rsid w:val="005F0ABE"/>
    <w:rsid w:val="005F0E88"/>
    <w:rsid w:val="005F1AA5"/>
    <w:rsid w:val="005F1F8C"/>
    <w:rsid w:val="005F242B"/>
    <w:rsid w:val="005F25FF"/>
    <w:rsid w:val="005F3B29"/>
    <w:rsid w:val="005F3F6B"/>
    <w:rsid w:val="005F4197"/>
    <w:rsid w:val="005F44E2"/>
    <w:rsid w:val="005F70BF"/>
    <w:rsid w:val="005F7257"/>
    <w:rsid w:val="005F7291"/>
    <w:rsid w:val="0060080A"/>
    <w:rsid w:val="00600821"/>
    <w:rsid w:val="00601058"/>
    <w:rsid w:val="0060154B"/>
    <w:rsid w:val="006015DF"/>
    <w:rsid w:val="00602372"/>
    <w:rsid w:val="00603792"/>
    <w:rsid w:val="00603A20"/>
    <w:rsid w:val="00604178"/>
    <w:rsid w:val="00604AEA"/>
    <w:rsid w:val="00604CCC"/>
    <w:rsid w:val="00605279"/>
    <w:rsid w:val="00605B8A"/>
    <w:rsid w:val="00606243"/>
    <w:rsid w:val="00606AE7"/>
    <w:rsid w:val="00610C4C"/>
    <w:rsid w:val="006116F1"/>
    <w:rsid w:val="00612093"/>
    <w:rsid w:val="006126BD"/>
    <w:rsid w:val="006128BB"/>
    <w:rsid w:val="00612B07"/>
    <w:rsid w:val="006133A7"/>
    <w:rsid w:val="006136D2"/>
    <w:rsid w:val="006139DD"/>
    <w:rsid w:val="00613B11"/>
    <w:rsid w:val="00614F8E"/>
    <w:rsid w:val="0061501C"/>
    <w:rsid w:val="006165AE"/>
    <w:rsid w:val="00617958"/>
    <w:rsid w:val="00620343"/>
    <w:rsid w:val="00623E83"/>
    <w:rsid w:val="00623FCD"/>
    <w:rsid w:val="0062435E"/>
    <w:rsid w:val="00626234"/>
    <w:rsid w:val="006264CD"/>
    <w:rsid w:val="006264E6"/>
    <w:rsid w:val="006270E0"/>
    <w:rsid w:val="0062714E"/>
    <w:rsid w:val="00627663"/>
    <w:rsid w:val="006308AD"/>
    <w:rsid w:val="00630C3D"/>
    <w:rsid w:val="00630DB0"/>
    <w:rsid w:val="00630ECD"/>
    <w:rsid w:val="006327F5"/>
    <w:rsid w:val="006330FC"/>
    <w:rsid w:val="006341E2"/>
    <w:rsid w:val="00634D9B"/>
    <w:rsid w:val="0063561F"/>
    <w:rsid w:val="006356BA"/>
    <w:rsid w:val="00635A5E"/>
    <w:rsid w:val="00636496"/>
    <w:rsid w:val="0063743C"/>
    <w:rsid w:val="00637899"/>
    <w:rsid w:val="00641DD7"/>
    <w:rsid w:val="00644B05"/>
    <w:rsid w:val="00645801"/>
    <w:rsid w:val="00646500"/>
    <w:rsid w:val="00646E93"/>
    <w:rsid w:val="0064728E"/>
    <w:rsid w:val="00647C2F"/>
    <w:rsid w:val="00650C67"/>
    <w:rsid w:val="00652F0A"/>
    <w:rsid w:val="006532A5"/>
    <w:rsid w:val="00653F76"/>
    <w:rsid w:val="00655038"/>
    <w:rsid w:val="00655BFE"/>
    <w:rsid w:val="00655F91"/>
    <w:rsid w:val="0066277C"/>
    <w:rsid w:val="0066332D"/>
    <w:rsid w:val="00665C88"/>
    <w:rsid w:val="00665F73"/>
    <w:rsid w:val="00670CB5"/>
    <w:rsid w:val="00675C6A"/>
    <w:rsid w:val="00675C9A"/>
    <w:rsid w:val="00675E72"/>
    <w:rsid w:val="00676159"/>
    <w:rsid w:val="006763AB"/>
    <w:rsid w:val="00680A46"/>
    <w:rsid w:val="0068288D"/>
    <w:rsid w:val="00682E7E"/>
    <w:rsid w:val="0068470D"/>
    <w:rsid w:val="00684C1B"/>
    <w:rsid w:val="00686300"/>
    <w:rsid w:val="00690CD1"/>
    <w:rsid w:val="0069159F"/>
    <w:rsid w:val="006924DD"/>
    <w:rsid w:val="00692AD7"/>
    <w:rsid w:val="0069425A"/>
    <w:rsid w:val="006949CC"/>
    <w:rsid w:val="00695BE0"/>
    <w:rsid w:val="00696083"/>
    <w:rsid w:val="0069653B"/>
    <w:rsid w:val="00696781"/>
    <w:rsid w:val="00696D5D"/>
    <w:rsid w:val="006A0DB5"/>
    <w:rsid w:val="006A0DED"/>
    <w:rsid w:val="006A0F92"/>
    <w:rsid w:val="006A1E36"/>
    <w:rsid w:val="006A2FD0"/>
    <w:rsid w:val="006A3399"/>
    <w:rsid w:val="006A4D4A"/>
    <w:rsid w:val="006A4EBE"/>
    <w:rsid w:val="006A55FB"/>
    <w:rsid w:val="006A5F65"/>
    <w:rsid w:val="006B016E"/>
    <w:rsid w:val="006B0FD7"/>
    <w:rsid w:val="006B10BD"/>
    <w:rsid w:val="006B164A"/>
    <w:rsid w:val="006B23B9"/>
    <w:rsid w:val="006B4451"/>
    <w:rsid w:val="006B44BD"/>
    <w:rsid w:val="006B4E07"/>
    <w:rsid w:val="006B4E57"/>
    <w:rsid w:val="006B75BC"/>
    <w:rsid w:val="006B778F"/>
    <w:rsid w:val="006C0B69"/>
    <w:rsid w:val="006C10B0"/>
    <w:rsid w:val="006C2057"/>
    <w:rsid w:val="006C2496"/>
    <w:rsid w:val="006C3E24"/>
    <w:rsid w:val="006C4E0E"/>
    <w:rsid w:val="006C5A09"/>
    <w:rsid w:val="006C5DC1"/>
    <w:rsid w:val="006C660D"/>
    <w:rsid w:val="006C6692"/>
    <w:rsid w:val="006C6B1B"/>
    <w:rsid w:val="006C6F99"/>
    <w:rsid w:val="006C71BA"/>
    <w:rsid w:val="006D0BA7"/>
    <w:rsid w:val="006D0C68"/>
    <w:rsid w:val="006D0CC7"/>
    <w:rsid w:val="006D20E8"/>
    <w:rsid w:val="006D229C"/>
    <w:rsid w:val="006D7AC1"/>
    <w:rsid w:val="006E077F"/>
    <w:rsid w:val="006E2296"/>
    <w:rsid w:val="006E2679"/>
    <w:rsid w:val="006E4139"/>
    <w:rsid w:val="006E4602"/>
    <w:rsid w:val="006E4C8A"/>
    <w:rsid w:val="006E4E76"/>
    <w:rsid w:val="006E68DE"/>
    <w:rsid w:val="006E6EDA"/>
    <w:rsid w:val="006F1379"/>
    <w:rsid w:val="006F3166"/>
    <w:rsid w:val="006F3E75"/>
    <w:rsid w:val="006F40F5"/>
    <w:rsid w:val="006F4803"/>
    <w:rsid w:val="006F607B"/>
    <w:rsid w:val="006F636E"/>
    <w:rsid w:val="00701FCB"/>
    <w:rsid w:val="00702407"/>
    <w:rsid w:val="00706681"/>
    <w:rsid w:val="00706C00"/>
    <w:rsid w:val="00707148"/>
    <w:rsid w:val="007075AB"/>
    <w:rsid w:val="00707765"/>
    <w:rsid w:val="00710167"/>
    <w:rsid w:val="0071114C"/>
    <w:rsid w:val="00712A83"/>
    <w:rsid w:val="0071491E"/>
    <w:rsid w:val="00715133"/>
    <w:rsid w:val="007173F0"/>
    <w:rsid w:val="00717FCC"/>
    <w:rsid w:val="0072105F"/>
    <w:rsid w:val="007248FE"/>
    <w:rsid w:val="00724F17"/>
    <w:rsid w:val="00726C2B"/>
    <w:rsid w:val="00727263"/>
    <w:rsid w:val="007272BF"/>
    <w:rsid w:val="00732019"/>
    <w:rsid w:val="007321E7"/>
    <w:rsid w:val="00732267"/>
    <w:rsid w:val="00732528"/>
    <w:rsid w:val="00733453"/>
    <w:rsid w:val="007339F8"/>
    <w:rsid w:val="00733B6C"/>
    <w:rsid w:val="00735647"/>
    <w:rsid w:val="00735FE6"/>
    <w:rsid w:val="00737578"/>
    <w:rsid w:val="00740340"/>
    <w:rsid w:val="00740857"/>
    <w:rsid w:val="00740C10"/>
    <w:rsid w:val="00741FB8"/>
    <w:rsid w:val="00742850"/>
    <w:rsid w:val="00742AC9"/>
    <w:rsid w:val="007436A6"/>
    <w:rsid w:val="0074556C"/>
    <w:rsid w:val="00746D34"/>
    <w:rsid w:val="0075041B"/>
    <w:rsid w:val="00751416"/>
    <w:rsid w:val="0075149A"/>
    <w:rsid w:val="00751700"/>
    <w:rsid w:val="00752F4A"/>
    <w:rsid w:val="00756E37"/>
    <w:rsid w:val="00760404"/>
    <w:rsid w:val="00761837"/>
    <w:rsid w:val="00762043"/>
    <w:rsid w:val="007628D4"/>
    <w:rsid w:val="00762FB4"/>
    <w:rsid w:val="00764748"/>
    <w:rsid w:val="00765C63"/>
    <w:rsid w:val="00765C8D"/>
    <w:rsid w:val="0077001E"/>
    <w:rsid w:val="00773898"/>
    <w:rsid w:val="00773F3C"/>
    <w:rsid w:val="007742E4"/>
    <w:rsid w:val="00775361"/>
    <w:rsid w:val="00776B41"/>
    <w:rsid w:val="00777F4C"/>
    <w:rsid w:val="00780278"/>
    <w:rsid w:val="007823BE"/>
    <w:rsid w:val="00782C62"/>
    <w:rsid w:val="00782C9F"/>
    <w:rsid w:val="00783164"/>
    <w:rsid w:val="00783BEB"/>
    <w:rsid w:val="0078418A"/>
    <w:rsid w:val="00786CEE"/>
    <w:rsid w:val="00786D88"/>
    <w:rsid w:val="00791E2F"/>
    <w:rsid w:val="0079249A"/>
    <w:rsid w:val="0079289D"/>
    <w:rsid w:val="00792BCA"/>
    <w:rsid w:val="00794398"/>
    <w:rsid w:val="0079474A"/>
    <w:rsid w:val="00795E5C"/>
    <w:rsid w:val="007961CD"/>
    <w:rsid w:val="007962D0"/>
    <w:rsid w:val="00796D22"/>
    <w:rsid w:val="00797B9B"/>
    <w:rsid w:val="00797C87"/>
    <w:rsid w:val="007A09BB"/>
    <w:rsid w:val="007A185C"/>
    <w:rsid w:val="007A1B2D"/>
    <w:rsid w:val="007A1BEA"/>
    <w:rsid w:val="007A24F6"/>
    <w:rsid w:val="007A33D2"/>
    <w:rsid w:val="007A403C"/>
    <w:rsid w:val="007A48F0"/>
    <w:rsid w:val="007A52F5"/>
    <w:rsid w:val="007A6FD2"/>
    <w:rsid w:val="007A6FF5"/>
    <w:rsid w:val="007A7E61"/>
    <w:rsid w:val="007B21AF"/>
    <w:rsid w:val="007B2374"/>
    <w:rsid w:val="007B3B7D"/>
    <w:rsid w:val="007B4AFB"/>
    <w:rsid w:val="007B66D9"/>
    <w:rsid w:val="007B67B0"/>
    <w:rsid w:val="007B6EB2"/>
    <w:rsid w:val="007B7850"/>
    <w:rsid w:val="007B79DB"/>
    <w:rsid w:val="007B7FD4"/>
    <w:rsid w:val="007C0274"/>
    <w:rsid w:val="007C03C6"/>
    <w:rsid w:val="007C09E5"/>
    <w:rsid w:val="007C1B44"/>
    <w:rsid w:val="007C1C44"/>
    <w:rsid w:val="007C3098"/>
    <w:rsid w:val="007C4C45"/>
    <w:rsid w:val="007C5275"/>
    <w:rsid w:val="007C5E09"/>
    <w:rsid w:val="007C628F"/>
    <w:rsid w:val="007C6C24"/>
    <w:rsid w:val="007C733B"/>
    <w:rsid w:val="007C776A"/>
    <w:rsid w:val="007C7A73"/>
    <w:rsid w:val="007D0A4A"/>
    <w:rsid w:val="007D128C"/>
    <w:rsid w:val="007D129D"/>
    <w:rsid w:val="007D2855"/>
    <w:rsid w:val="007D40AE"/>
    <w:rsid w:val="007D52C1"/>
    <w:rsid w:val="007D5327"/>
    <w:rsid w:val="007D5E2E"/>
    <w:rsid w:val="007D6100"/>
    <w:rsid w:val="007D6966"/>
    <w:rsid w:val="007D7173"/>
    <w:rsid w:val="007D7322"/>
    <w:rsid w:val="007E1056"/>
    <w:rsid w:val="007E125A"/>
    <w:rsid w:val="007E1270"/>
    <w:rsid w:val="007E1375"/>
    <w:rsid w:val="007E2010"/>
    <w:rsid w:val="007E2362"/>
    <w:rsid w:val="007E2C6F"/>
    <w:rsid w:val="007E3D83"/>
    <w:rsid w:val="007E420E"/>
    <w:rsid w:val="007E4413"/>
    <w:rsid w:val="007E4D52"/>
    <w:rsid w:val="007E5EFD"/>
    <w:rsid w:val="007F089D"/>
    <w:rsid w:val="007F0B05"/>
    <w:rsid w:val="007F2DAC"/>
    <w:rsid w:val="007F2E3B"/>
    <w:rsid w:val="007F3056"/>
    <w:rsid w:val="007F3803"/>
    <w:rsid w:val="007F6F11"/>
    <w:rsid w:val="007F7B93"/>
    <w:rsid w:val="00800E08"/>
    <w:rsid w:val="00801602"/>
    <w:rsid w:val="00803EF6"/>
    <w:rsid w:val="00803FC8"/>
    <w:rsid w:val="00804564"/>
    <w:rsid w:val="00804565"/>
    <w:rsid w:val="00804A3F"/>
    <w:rsid w:val="00804F90"/>
    <w:rsid w:val="00806FF1"/>
    <w:rsid w:val="008071EA"/>
    <w:rsid w:val="008076ED"/>
    <w:rsid w:val="0081084A"/>
    <w:rsid w:val="00810CCC"/>
    <w:rsid w:val="00812B0A"/>
    <w:rsid w:val="00815255"/>
    <w:rsid w:val="008164E5"/>
    <w:rsid w:val="0081753F"/>
    <w:rsid w:val="00820476"/>
    <w:rsid w:val="0082268B"/>
    <w:rsid w:val="00824362"/>
    <w:rsid w:val="008246A5"/>
    <w:rsid w:val="0082492E"/>
    <w:rsid w:val="00826047"/>
    <w:rsid w:val="008301CB"/>
    <w:rsid w:val="0083371C"/>
    <w:rsid w:val="00833900"/>
    <w:rsid w:val="008361DD"/>
    <w:rsid w:val="00836331"/>
    <w:rsid w:val="00836652"/>
    <w:rsid w:val="00837481"/>
    <w:rsid w:val="00837EE3"/>
    <w:rsid w:val="00840367"/>
    <w:rsid w:val="00840674"/>
    <w:rsid w:val="008415FE"/>
    <w:rsid w:val="008418C9"/>
    <w:rsid w:val="00842C92"/>
    <w:rsid w:val="00845373"/>
    <w:rsid w:val="008453B4"/>
    <w:rsid w:val="00845F3C"/>
    <w:rsid w:val="00846E10"/>
    <w:rsid w:val="00847C7D"/>
    <w:rsid w:val="00847CAE"/>
    <w:rsid w:val="0085188E"/>
    <w:rsid w:val="008520D4"/>
    <w:rsid w:val="008532C4"/>
    <w:rsid w:val="008541CF"/>
    <w:rsid w:val="00854328"/>
    <w:rsid w:val="008552AF"/>
    <w:rsid w:val="00855424"/>
    <w:rsid w:val="00855DBD"/>
    <w:rsid w:val="00855EF7"/>
    <w:rsid w:val="00857AFC"/>
    <w:rsid w:val="00857E80"/>
    <w:rsid w:val="0086010E"/>
    <w:rsid w:val="00860114"/>
    <w:rsid w:val="00860FC5"/>
    <w:rsid w:val="008610FE"/>
    <w:rsid w:val="008624C1"/>
    <w:rsid w:val="00863364"/>
    <w:rsid w:val="00863802"/>
    <w:rsid w:val="00863CEE"/>
    <w:rsid w:val="00864A96"/>
    <w:rsid w:val="008653B7"/>
    <w:rsid w:val="008678E4"/>
    <w:rsid w:val="00870D8F"/>
    <w:rsid w:val="00871FAC"/>
    <w:rsid w:val="00873F04"/>
    <w:rsid w:val="00873F05"/>
    <w:rsid w:val="008746FD"/>
    <w:rsid w:val="008804C3"/>
    <w:rsid w:val="00880870"/>
    <w:rsid w:val="00880CE8"/>
    <w:rsid w:val="00881112"/>
    <w:rsid w:val="00881ED3"/>
    <w:rsid w:val="00884CFF"/>
    <w:rsid w:val="00885486"/>
    <w:rsid w:val="008855D1"/>
    <w:rsid w:val="008877FE"/>
    <w:rsid w:val="00890D47"/>
    <w:rsid w:val="00892133"/>
    <w:rsid w:val="00893E12"/>
    <w:rsid w:val="0089488E"/>
    <w:rsid w:val="00894930"/>
    <w:rsid w:val="00895B19"/>
    <w:rsid w:val="0089653A"/>
    <w:rsid w:val="00896B68"/>
    <w:rsid w:val="00897391"/>
    <w:rsid w:val="00897AD9"/>
    <w:rsid w:val="008A10D7"/>
    <w:rsid w:val="008A121D"/>
    <w:rsid w:val="008A15D5"/>
    <w:rsid w:val="008A3811"/>
    <w:rsid w:val="008A3843"/>
    <w:rsid w:val="008A6C69"/>
    <w:rsid w:val="008B12B4"/>
    <w:rsid w:val="008B195C"/>
    <w:rsid w:val="008B19ED"/>
    <w:rsid w:val="008B705C"/>
    <w:rsid w:val="008C04AA"/>
    <w:rsid w:val="008C04CD"/>
    <w:rsid w:val="008C09C8"/>
    <w:rsid w:val="008C137E"/>
    <w:rsid w:val="008C1D35"/>
    <w:rsid w:val="008C3A10"/>
    <w:rsid w:val="008C4BB3"/>
    <w:rsid w:val="008C5D4D"/>
    <w:rsid w:val="008C6B24"/>
    <w:rsid w:val="008D0F7E"/>
    <w:rsid w:val="008D2C84"/>
    <w:rsid w:val="008D3F09"/>
    <w:rsid w:val="008D6E65"/>
    <w:rsid w:val="008E0235"/>
    <w:rsid w:val="008E056E"/>
    <w:rsid w:val="008E0690"/>
    <w:rsid w:val="008E20B6"/>
    <w:rsid w:val="008E2A53"/>
    <w:rsid w:val="008E39BB"/>
    <w:rsid w:val="008E4253"/>
    <w:rsid w:val="008E51F9"/>
    <w:rsid w:val="008E5CAE"/>
    <w:rsid w:val="008F0873"/>
    <w:rsid w:val="008F54CD"/>
    <w:rsid w:val="008F6140"/>
    <w:rsid w:val="008F7539"/>
    <w:rsid w:val="008F7683"/>
    <w:rsid w:val="00901630"/>
    <w:rsid w:val="00902EE0"/>
    <w:rsid w:val="0090388B"/>
    <w:rsid w:val="00904FD7"/>
    <w:rsid w:val="00905461"/>
    <w:rsid w:val="00905A86"/>
    <w:rsid w:val="00906A08"/>
    <w:rsid w:val="009077C7"/>
    <w:rsid w:val="00910C15"/>
    <w:rsid w:val="00912FBA"/>
    <w:rsid w:val="00914E86"/>
    <w:rsid w:val="00916A7C"/>
    <w:rsid w:val="0091726A"/>
    <w:rsid w:val="009219C2"/>
    <w:rsid w:val="00921B42"/>
    <w:rsid w:val="00921C5E"/>
    <w:rsid w:val="00921C84"/>
    <w:rsid w:val="00921F3A"/>
    <w:rsid w:val="009232B9"/>
    <w:rsid w:val="0092577E"/>
    <w:rsid w:val="00925CED"/>
    <w:rsid w:val="00926B33"/>
    <w:rsid w:val="00926CD3"/>
    <w:rsid w:val="0093381A"/>
    <w:rsid w:val="00935A39"/>
    <w:rsid w:val="0093668F"/>
    <w:rsid w:val="0093753A"/>
    <w:rsid w:val="00937647"/>
    <w:rsid w:val="009478E9"/>
    <w:rsid w:val="00950803"/>
    <w:rsid w:val="009516B7"/>
    <w:rsid w:val="0095249D"/>
    <w:rsid w:val="00953F1E"/>
    <w:rsid w:val="00955D93"/>
    <w:rsid w:val="00960DB7"/>
    <w:rsid w:val="009615B5"/>
    <w:rsid w:val="00961F28"/>
    <w:rsid w:val="009620C9"/>
    <w:rsid w:val="00962C62"/>
    <w:rsid w:val="0096305F"/>
    <w:rsid w:val="0096329D"/>
    <w:rsid w:val="0096373C"/>
    <w:rsid w:val="00963879"/>
    <w:rsid w:val="00965359"/>
    <w:rsid w:val="009657D3"/>
    <w:rsid w:val="00966464"/>
    <w:rsid w:val="0096735D"/>
    <w:rsid w:val="00967A73"/>
    <w:rsid w:val="00970CE1"/>
    <w:rsid w:val="00971AA6"/>
    <w:rsid w:val="00972577"/>
    <w:rsid w:val="009734FB"/>
    <w:rsid w:val="0097371C"/>
    <w:rsid w:val="00976430"/>
    <w:rsid w:val="00976FF3"/>
    <w:rsid w:val="00977791"/>
    <w:rsid w:val="00980280"/>
    <w:rsid w:val="0098107D"/>
    <w:rsid w:val="00981AAD"/>
    <w:rsid w:val="00981B49"/>
    <w:rsid w:val="00982CB9"/>
    <w:rsid w:val="00983E52"/>
    <w:rsid w:val="0098441F"/>
    <w:rsid w:val="009849A4"/>
    <w:rsid w:val="00984F90"/>
    <w:rsid w:val="0098739F"/>
    <w:rsid w:val="0099086A"/>
    <w:rsid w:val="00990958"/>
    <w:rsid w:val="00990CC2"/>
    <w:rsid w:val="009917DA"/>
    <w:rsid w:val="00993F28"/>
    <w:rsid w:val="00994A42"/>
    <w:rsid w:val="00994DC5"/>
    <w:rsid w:val="00995E47"/>
    <w:rsid w:val="00996918"/>
    <w:rsid w:val="009969A3"/>
    <w:rsid w:val="00997ADD"/>
    <w:rsid w:val="009A0F43"/>
    <w:rsid w:val="009A220B"/>
    <w:rsid w:val="009A2D2E"/>
    <w:rsid w:val="009A33EB"/>
    <w:rsid w:val="009A3A51"/>
    <w:rsid w:val="009A47E0"/>
    <w:rsid w:val="009A5245"/>
    <w:rsid w:val="009A569A"/>
    <w:rsid w:val="009A6979"/>
    <w:rsid w:val="009A740B"/>
    <w:rsid w:val="009B0DD2"/>
    <w:rsid w:val="009B141D"/>
    <w:rsid w:val="009B1D4F"/>
    <w:rsid w:val="009B2AF8"/>
    <w:rsid w:val="009B6A1B"/>
    <w:rsid w:val="009B6C24"/>
    <w:rsid w:val="009B7912"/>
    <w:rsid w:val="009C01BD"/>
    <w:rsid w:val="009C13C9"/>
    <w:rsid w:val="009C2E33"/>
    <w:rsid w:val="009C30BF"/>
    <w:rsid w:val="009C4A17"/>
    <w:rsid w:val="009C529A"/>
    <w:rsid w:val="009D062B"/>
    <w:rsid w:val="009D3D82"/>
    <w:rsid w:val="009D3E58"/>
    <w:rsid w:val="009D4EEC"/>
    <w:rsid w:val="009D5959"/>
    <w:rsid w:val="009D65AC"/>
    <w:rsid w:val="009D69FD"/>
    <w:rsid w:val="009D7041"/>
    <w:rsid w:val="009E2924"/>
    <w:rsid w:val="009E39DB"/>
    <w:rsid w:val="009E6D60"/>
    <w:rsid w:val="009E7752"/>
    <w:rsid w:val="009F0282"/>
    <w:rsid w:val="009F2001"/>
    <w:rsid w:val="009F204C"/>
    <w:rsid w:val="009F2057"/>
    <w:rsid w:val="009F471C"/>
    <w:rsid w:val="009F55BC"/>
    <w:rsid w:val="009F5FC1"/>
    <w:rsid w:val="009F623F"/>
    <w:rsid w:val="009F7456"/>
    <w:rsid w:val="00A007B0"/>
    <w:rsid w:val="00A00D4B"/>
    <w:rsid w:val="00A012B2"/>
    <w:rsid w:val="00A01DE8"/>
    <w:rsid w:val="00A045A1"/>
    <w:rsid w:val="00A04BE8"/>
    <w:rsid w:val="00A05461"/>
    <w:rsid w:val="00A056CA"/>
    <w:rsid w:val="00A0607B"/>
    <w:rsid w:val="00A10441"/>
    <w:rsid w:val="00A107FF"/>
    <w:rsid w:val="00A1088B"/>
    <w:rsid w:val="00A1168A"/>
    <w:rsid w:val="00A12D54"/>
    <w:rsid w:val="00A14936"/>
    <w:rsid w:val="00A17307"/>
    <w:rsid w:val="00A175B1"/>
    <w:rsid w:val="00A203A4"/>
    <w:rsid w:val="00A205F8"/>
    <w:rsid w:val="00A221C9"/>
    <w:rsid w:val="00A2250A"/>
    <w:rsid w:val="00A2279E"/>
    <w:rsid w:val="00A229F4"/>
    <w:rsid w:val="00A22EB7"/>
    <w:rsid w:val="00A23851"/>
    <w:rsid w:val="00A24528"/>
    <w:rsid w:val="00A2480C"/>
    <w:rsid w:val="00A2497F"/>
    <w:rsid w:val="00A24C06"/>
    <w:rsid w:val="00A25E23"/>
    <w:rsid w:val="00A265B8"/>
    <w:rsid w:val="00A2661C"/>
    <w:rsid w:val="00A275C2"/>
    <w:rsid w:val="00A2782F"/>
    <w:rsid w:val="00A30FC6"/>
    <w:rsid w:val="00A3111A"/>
    <w:rsid w:val="00A3195D"/>
    <w:rsid w:val="00A31F09"/>
    <w:rsid w:val="00A324EC"/>
    <w:rsid w:val="00A34B88"/>
    <w:rsid w:val="00A35EA8"/>
    <w:rsid w:val="00A366F8"/>
    <w:rsid w:val="00A37104"/>
    <w:rsid w:val="00A37693"/>
    <w:rsid w:val="00A3775B"/>
    <w:rsid w:val="00A40A9A"/>
    <w:rsid w:val="00A40C34"/>
    <w:rsid w:val="00A40D68"/>
    <w:rsid w:val="00A419A0"/>
    <w:rsid w:val="00A41B01"/>
    <w:rsid w:val="00A4207C"/>
    <w:rsid w:val="00A43BE2"/>
    <w:rsid w:val="00A4468B"/>
    <w:rsid w:val="00A475FC"/>
    <w:rsid w:val="00A476FD"/>
    <w:rsid w:val="00A47E62"/>
    <w:rsid w:val="00A506F0"/>
    <w:rsid w:val="00A50DB8"/>
    <w:rsid w:val="00A510F2"/>
    <w:rsid w:val="00A51431"/>
    <w:rsid w:val="00A52BA9"/>
    <w:rsid w:val="00A550CB"/>
    <w:rsid w:val="00A60B2E"/>
    <w:rsid w:val="00A61B3D"/>
    <w:rsid w:val="00A61ECF"/>
    <w:rsid w:val="00A63282"/>
    <w:rsid w:val="00A6353E"/>
    <w:rsid w:val="00A64877"/>
    <w:rsid w:val="00A649A9"/>
    <w:rsid w:val="00A65C1E"/>
    <w:rsid w:val="00A66A43"/>
    <w:rsid w:val="00A67779"/>
    <w:rsid w:val="00A706AD"/>
    <w:rsid w:val="00A7090D"/>
    <w:rsid w:val="00A71175"/>
    <w:rsid w:val="00A717ED"/>
    <w:rsid w:val="00A71C5C"/>
    <w:rsid w:val="00A71C9F"/>
    <w:rsid w:val="00A72F6C"/>
    <w:rsid w:val="00A7335B"/>
    <w:rsid w:val="00A73CA0"/>
    <w:rsid w:val="00A73F09"/>
    <w:rsid w:val="00A744FC"/>
    <w:rsid w:val="00A74E40"/>
    <w:rsid w:val="00A756D9"/>
    <w:rsid w:val="00A76063"/>
    <w:rsid w:val="00A8238A"/>
    <w:rsid w:val="00A825D7"/>
    <w:rsid w:val="00A832F9"/>
    <w:rsid w:val="00A846D1"/>
    <w:rsid w:val="00A84C40"/>
    <w:rsid w:val="00A84CC2"/>
    <w:rsid w:val="00A857D7"/>
    <w:rsid w:val="00A874C8"/>
    <w:rsid w:val="00A90C05"/>
    <w:rsid w:val="00A91D19"/>
    <w:rsid w:val="00A91EF6"/>
    <w:rsid w:val="00A92C14"/>
    <w:rsid w:val="00A94B5B"/>
    <w:rsid w:val="00A9683A"/>
    <w:rsid w:val="00A96E5D"/>
    <w:rsid w:val="00A97D5F"/>
    <w:rsid w:val="00AA24B5"/>
    <w:rsid w:val="00AA44A0"/>
    <w:rsid w:val="00AA596D"/>
    <w:rsid w:val="00AA61C6"/>
    <w:rsid w:val="00AA622E"/>
    <w:rsid w:val="00AA625A"/>
    <w:rsid w:val="00AA6774"/>
    <w:rsid w:val="00AA6C70"/>
    <w:rsid w:val="00AA7E3C"/>
    <w:rsid w:val="00AB0257"/>
    <w:rsid w:val="00AB0ED9"/>
    <w:rsid w:val="00AB14B0"/>
    <w:rsid w:val="00AB2CD9"/>
    <w:rsid w:val="00AB3527"/>
    <w:rsid w:val="00AB4AA0"/>
    <w:rsid w:val="00AB710E"/>
    <w:rsid w:val="00AB741F"/>
    <w:rsid w:val="00AC013B"/>
    <w:rsid w:val="00AC037F"/>
    <w:rsid w:val="00AC0CA2"/>
    <w:rsid w:val="00AC0D92"/>
    <w:rsid w:val="00AC1839"/>
    <w:rsid w:val="00AC409B"/>
    <w:rsid w:val="00AC42AE"/>
    <w:rsid w:val="00AC4519"/>
    <w:rsid w:val="00AC572C"/>
    <w:rsid w:val="00AC6E28"/>
    <w:rsid w:val="00AC7E6A"/>
    <w:rsid w:val="00AD07E5"/>
    <w:rsid w:val="00AD0B95"/>
    <w:rsid w:val="00AD156A"/>
    <w:rsid w:val="00AD1843"/>
    <w:rsid w:val="00AD28EE"/>
    <w:rsid w:val="00AD2C19"/>
    <w:rsid w:val="00AD2F8D"/>
    <w:rsid w:val="00AD2FB5"/>
    <w:rsid w:val="00AD31BA"/>
    <w:rsid w:val="00AD430B"/>
    <w:rsid w:val="00AD5E8E"/>
    <w:rsid w:val="00AD6953"/>
    <w:rsid w:val="00AE0097"/>
    <w:rsid w:val="00AE1884"/>
    <w:rsid w:val="00AE26BC"/>
    <w:rsid w:val="00AE3D6A"/>
    <w:rsid w:val="00AE606C"/>
    <w:rsid w:val="00AE7167"/>
    <w:rsid w:val="00AE7317"/>
    <w:rsid w:val="00AE7531"/>
    <w:rsid w:val="00AE7D50"/>
    <w:rsid w:val="00AF0DF7"/>
    <w:rsid w:val="00AF2409"/>
    <w:rsid w:val="00AF44BB"/>
    <w:rsid w:val="00AF4908"/>
    <w:rsid w:val="00AF4EA3"/>
    <w:rsid w:val="00AF5DD8"/>
    <w:rsid w:val="00AF70D3"/>
    <w:rsid w:val="00AF73D2"/>
    <w:rsid w:val="00AF75B8"/>
    <w:rsid w:val="00B001DC"/>
    <w:rsid w:val="00B0365B"/>
    <w:rsid w:val="00B04366"/>
    <w:rsid w:val="00B049FA"/>
    <w:rsid w:val="00B05E15"/>
    <w:rsid w:val="00B06838"/>
    <w:rsid w:val="00B06ABE"/>
    <w:rsid w:val="00B06AF3"/>
    <w:rsid w:val="00B074E3"/>
    <w:rsid w:val="00B07A7B"/>
    <w:rsid w:val="00B109E7"/>
    <w:rsid w:val="00B10A12"/>
    <w:rsid w:val="00B10FA5"/>
    <w:rsid w:val="00B11630"/>
    <w:rsid w:val="00B11BE1"/>
    <w:rsid w:val="00B11CC2"/>
    <w:rsid w:val="00B12ACD"/>
    <w:rsid w:val="00B148C1"/>
    <w:rsid w:val="00B15E0C"/>
    <w:rsid w:val="00B168C6"/>
    <w:rsid w:val="00B21E95"/>
    <w:rsid w:val="00B2210F"/>
    <w:rsid w:val="00B221B3"/>
    <w:rsid w:val="00B22384"/>
    <w:rsid w:val="00B2256C"/>
    <w:rsid w:val="00B22C29"/>
    <w:rsid w:val="00B23511"/>
    <w:rsid w:val="00B2445A"/>
    <w:rsid w:val="00B247EE"/>
    <w:rsid w:val="00B2572C"/>
    <w:rsid w:val="00B2617C"/>
    <w:rsid w:val="00B26182"/>
    <w:rsid w:val="00B26298"/>
    <w:rsid w:val="00B27211"/>
    <w:rsid w:val="00B274D8"/>
    <w:rsid w:val="00B30350"/>
    <w:rsid w:val="00B303F0"/>
    <w:rsid w:val="00B31F86"/>
    <w:rsid w:val="00B32E3B"/>
    <w:rsid w:val="00B3389B"/>
    <w:rsid w:val="00B34CD1"/>
    <w:rsid w:val="00B364EB"/>
    <w:rsid w:val="00B36E34"/>
    <w:rsid w:val="00B41383"/>
    <w:rsid w:val="00B416B8"/>
    <w:rsid w:val="00B42149"/>
    <w:rsid w:val="00B4287B"/>
    <w:rsid w:val="00B43001"/>
    <w:rsid w:val="00B43055"/>
    <w:rsid w:val="00B43784"/>
    <w:rsid w:val="00B43813"/>
    <w:rsid w:val="00B43D6E"/>
    <w:rsid w:val="00B45976"/>
    <w:rsid w:val="00B45BDE"/>
    <w:rsid w:val="00B472E6"/>
    <w:rsid w:val="00B510A0"/>
    <w:rsid w:val="00B511D1"/>
    <w:rsid w:val="00B51285"/>
    <w:rsid w:val="00B51338"/>
    <w:rsid w:val="00B51B16"/>
    <w:rsid w:val="00B52000"/>
    <w:rsid w:val="00B53859"/>
    <w:rsid w:val="00B54352"/>
    <w:rsid w:val="00B5585C"/>
    <w:rsid w:val="00B5618A"/>
    <w:rsid w:val="00B56E50"/>
    <w:rsid w:val="00B57A90"/>
    <w:rsid w:val="00B60715"/>
    <w:rsid w:val="00B61EF5"/>
    <w:rsid w:val="00B6285E"/>
    <w:rsid w:val="00B63314"/>
    <w:rsid w:val="00B6399D"/>
    <w:rsid w:val="00B63B82"/>
    <w:rsid w:val="00B64FB5"/>
    <w:rsid w:val="00B664E0"/>
    <w:rsid w:val="00B67C56"/>
    <w:rsid w:val="00B70AFB"/>
    <w:rsid w:val="00B737FB"/>
    <w:rsid w:val="00B74379"/>
    <w:rsid w:val="00B76641"/>
    <w:rsid w:val="00B76AB6"/>
    <w:rsid w:val="00B81656"/>
    <w:rsid w:val="00B81F9D"/>
    <w:rsid w:val="00B85B7B"/>
    <w:rsid w:val="00B86709"/>
    <w:rsid w:val="00B867ED"/>
    <w:rsid w:val="00B91EB7"/>
    <w:rsid w:val="00B92762"/>
    <w:rsid w:val="00B92B83"/>
    <w:rsid w:val="00B92C0F"/>
    <w:rsid w:val="00B930A0"/>
    <w:rsid w:val="00B93393"/>
    <w:rsid w:val="00B94979"/>
    <w:rsid w:val="00B94DCD"/>
    <w:rsid w:val="00B94E03"/>
    <w:rsid w:val="00B96BE4"/>
    <w:rsid w:val="00BA095C"/>
    <w:rsid w:val="00BA1A8B"/>
    <w:rsid w:val="00BA1CFF"/>
    <w:rsid w:val="00BA2920"/>
    <w:rsid w:val="00BA4C97"/>
    <w:rsid w:val="00BA4FDA"/>
    <w:rsid w:val="00BA6C9D"/>
    <w:rsid w:val="00BB0996"/>
    <w:rsid w:val="00BB1261"/>
    <w:rsid w:val="00BB1898"/>
    <w:rsid w:val="00BB1A6D"/>
    <w:rsid w:val="00BB1C80"/>
    <w:rsid w:val="00BB2015"/>
    <w:rsid w:val="00BB25D6"/>
    <w:rsid w:val="00BB29BF"/>
    <w:rsid w:val="00BB32E3"/>
    <w:rsid w:val="00BB5390"/>
    <w:rsid w:val="00BB5EAE"/>
    <w:rsid w:val="00BB67AF"/>
    <w:rsid w:val="00BB721B"/>
    <w:rsid w:val="00BB725A"/>
    <w:rsid w:val="00BC2058"/>
    <w:rsid w:val="00BC2C9E"/>
    <w:rsid w:val="00BC3277"/>
    <w:rsid w:val="00BC333C"/>
    <w:rsid w:val="00BC3E30"/>
    <w:rsid w:val="00BC3F2C"/>
    <w:rsid w:val="00BC42F9"/>
    <w:rsid w:val="00BC532F"/>
    <w:rsid w:val="00BC614C"/>
    <w:rsid w:val="00BC6592"/>
    <w:rsid w:val="00BC776F"/>
    <w:rsid w:val="00BD06DC"/>
    <w:rsid w:val="00BD075A"/>
    <w:rsid w:val="00BD0F5F"/>
    <w:rsid w:val="00BD197F"/>
    <w:rsid w:val="00BD1B1C"/>
    <w:rsid w:val="00BD26BE"/>
    <w:rsid w:val="00BD28A6"/>
    <w:rsid w:val="00BD396A"/>
    <w:rsid w:val="00BD3E20"/>
    <w:rsid w:val="00BD6D0F"/>
    <w:rsid w:val="00BD7BC8"/>
    <w:rsid w:val="00BE2677"/>
    <w:rsid w:val="00BE2E24"/>
    <w:rsid w:val="00BE57CF"/>
    <w:rsid w:val="00BE6F9C"/>
    <w:rsid w:val="00BE729A"/>
    <w:rsid w:val="00BE73C6"/>
    <w:rsid w:val="00BE7C7B"/>
    <w:rsid w:val="00BE7EE5"/>
    <w:rsid w:val="00BF08A3"/>
    <w:rsid w:val="00BF151A"/>
    <w:rsid w:val="00BF26EB"/>
    <w:rsid w:val="00BF3AE6"/>
    <w:rsid w:val="00BF3BB3"/>
    <w:rsid w:val="00BF44BF"/>
    <w:rsid w:val="00BF4D12"/>
    <w:rsid w:val="00BF610B"/>
    <w:rsid w:val="00BF6F6D"/>
    <w:rsid w:val="00C006E0"/>
    <w:rsid w:val="00C008EA"/>
    <w:rsid w:val="00C02B63"/>
    <w:rsid w:val="00C0462F"/>
    <w:rsid w:val="00C05CB4"/>
    <w:rsid w:val="00C05F64"/>
    <w:rsid w:val="00C062BF"/>
    <w:rsid w:val="00C067BE"/>
    <w:rsid w:val="00C06844"/>
    <w:rsid w:val="00C073B7"/>
    <w:rsid w:val="00C077D0"/>
    <w:rsid w:val="00C10723"/>
    <w:rsid w:val="00C10FDA"/>
    <w:rsid w:val="00C12041"/>
    <w:rsid w:val="00C12973"/>
    <w:rsid w:val="00C1350C"/>
    <w:rsid w:val="00C14223"/>
    <w:rsid w:val="00C20C29"/>
    <w:rsid w:val="00C22540"/>
    <w:rsid w:val="00C22F73"/>
    <w:rsid w:val="00C230B4"/>
    <w:rsid w:val="00C231E2"/>
    <w:rsid w:val="00C253EB"/>
    <w:rsid w:val="00C25EB6"/>
    <w:rsid w:val="00C25FE5"/>
    <w:rsid w:val="00C31C2A"/>
    <w:rsid w:val="00C3245F"/>
    <w:rsid w:val="00C32AC3"/>
    <w:rsid w:val="00C363A3"/>
    <w:rsid w:val="00C378E7"/>
    <w:rsid w:val="00C413CB"/>
    <w:rsid w:val="00C418B5"/>
    <w:rsid w:val="00C42338"/>
    <w:rsid w:val="00C42AC2"/>
    <w:rsid w:val="00C42B3C"/>
    <w:rsid w:val="00C42B67"/>
    <w:rsid w:val="00C450EC"/>
    <w:rsid w:val="00C45992"/>
    <w:rsid w:val="00C45E2C"/>
    <w:rsid w:val="00C45EE6"/>
    <w:rsid w:val="00C469D4"/>
    <w:rsid w:val="00C46C55"/>
    <w:rsid w:val="00C46D22"/>
    <w:rsid w:val="00C47E4C"/>
    <w:rsid w:val="00C51665"/>
    <w:rsid w:val="00C52F88"/>
    <w:rsid w:val="00C5315F"/>
    <w:rsid w:val="00C556F2"/>
    <w:rsid w:val="00C55DE6"/>
    <w:rsid w:val="00C5639A"/>
    <w:rsid w:val="00C569F9"/>
    <w:rsid w:val="00C57BC4"/>
    <w:rsid w:val="00C6153D"/>
    <w:rsid w:val="00C615D1"/>
    <w:rsid w:val="00C62CB5"/>
    <w:rsid w:val="00C65243"/>
    <w:rsid w:val="00C65BBA"/>
    <w:rsid w:val="00C65E94"/>
    <w:rsid w:val="00C67371"/>
    <w:rsid w:val="00C707A5"/>
    <w:rsid w:val="00C70F98"/>
    <w:rsid w:val="00C719F0"/>
    <w:rsid w:val="00C74B54"/>
    <w:rsid w:val="00C74F98"/>
    <w:rsid w:val="00C757AF"/>
    <w:rsid w:val="00C76000"/>
    <w:rsid w:val="00C801E9"/>
    <w:rsid w:val="00C80603"/>
    <w:rsid w:val="00C809BA"/>
    <w:rsid w:val="00C80C5A"/>
    <w:rsid w:val="00C816D4"/>
    <w:rsid w:val="00C82C58"/>
    <w:rsid w:val="00C83643"/>
    <w:rsid w:val="00C8449E"/>
    <w:rsid w:val="00C847B9"/>
    <w:rsid w:val="00C85688"/>
    <w:rsid w:val="00C87D96"/>
    <w:rsid w:val="00C9146E"/>
    <w:rsid w:val="00C91F89"/>
    <w:rsid w:val="00C921F0"/>
    <w:rsid w:val="00C92DEE"/>
    <w:rsid w:val="00C92FDA"/>
    <w:rsid w:val="00C92FFF"/>
    <w:rsid w:val="00C93D78"/>
    <w:rsid w:val="00C97F8C"/>
    <w:rsid w:val="00CA047F"/>
    <w:rsid w:val="00CA1E1B"/>
    <w:rsid w:val="00CA3D86"/>
    <w:rsid w:val="00CA773D"/>
    <w:rsid w:val="00CA7D41"/>
    <w:rsid w:val="00CB0107"/>
    <w:rsid w:val="00CB08F9"/>
    <w:rsid w:val="00CB114A"/>
    <w:rsid w:val="00CB1F6E"/>
    <w:rsid w:val="00CB2430"/>
    <w:rsid w:val="00CB39A0"/>
    <w:rsid w:val="00CB3ED7"/>
    <w:rsid w:val="00CB6837"/>
    <w:rsid w:val="00CC1592"/>
    <w:rsid w:val="00CC1E13"/>
    <w:rsid w:val="00CC27BF"/>
    <w:rsid w:val="00CC33D4"/>
    <w:rsid w:val="00CC37C7"/>
    <w:rsid w:val="00CC441C"/>
    <w:rsid w:val="00CC4BB7"/>
    <w:rsid w:val="00CC4C80"/>
    <w:rsid w:val="00CC4CFB"/>
    <w:rsid w:val="00CC57BA"/>
    <w:rsid w:val="00CC5AB0"/>
    <w:rsid w:val="00CC70EB"/>
    <w:rsid w:val="00CC7332"/>
    <w:rsid w:val="00CC7BA9"/>
    <w:rsid w:val="00CC7CE6"/>
    <w:rsid w:val="00CD0A8C"/>
    <w:rsid w:val="00CD0E12"/>
    <w:rsid w:val="00CD1132"/>
    <w:rsid w:val="00CD2979"/>
    <w:rsid w:val="00CD2D2A"/>
    <w:rsid w:val="00CD3611"/>
    <w:rsid w:val="00CD4241"/>
    <w:rsid w:val="00CD48FA"/>
    <w:rsid w:val="00CD4AFB"/>
    <w:rsid w:val="00CD5172"/>
    <w:rsid w:val="00CD6C14"/>
    <w:rsid w:val="00CE092A"/>
    <w:rsid w:val="00CE0DCA"/>
    <w:rsid w:val="00CE0F31"/>
    <w:rsid w:val="00CE198D"/>
    <w:rsid w:val="00CE19A6"/>
    <w:rsid w:val="00CE1BFE"/>
    <w:rsid w:val="00CE1FAC"/>
    <w:rsid w:val="00CE3449"/>
    <w:rsid w:val="00CE665C"/>
    <w:rsid w:val="00CE69A0"/>
    <w:rsid w:val="00CF06AF"/>
    <w:rsid w:val="00CF2430"/>
    <w:rsid w:val="00CF2E46"/>
    <w:rsid w:val="00CF3414"/>
    <w:rsid w:val="00CF3C4D"/>
    <w:rsid w:val="00CF67CA"/>
    <w:rsid w:val="00CF76B3"/>
    <w:rsid w:val="00D000E0"/>
    <w:rsid w:val="00D0190C"/>
    <w:rsid w:val="00D033A2"/>
    <w:rsid w:val="00D036F5"/>
    <w:rsid w:val="00D03E63"/>
    <w:rsid w:val="00D04C80"/>
    <w:rsid w:val="00D051DC"/>
    <w:rsid w:val="00D07E8A"/>
    <w:rsid w:val="00D11B82"/>
    <w:rsid w:val="00D11CDC"/>
    <w:rsid w:val="00D13DD7"/>
    <w:rsid w:val="00D14DBA"/>
    <w:rsid w:val="00D15013"/>
    <w:rsid w:val="00D15090"/>
    <w:rsid w:val="00D15F55"/>
    <w:rsid w:val="00D20851"/>
    <w:rsid w:val="00D21460"/>
    <w:rsid w:val="00D2205E"/>
    <w:rsid w:val="00D2273A"/>
    <w:rsid w:val="00D2384B"/>
    <w:rsid w:val="00D24CD7"/>
    <w:rsid w:val="00D2519D"/>
    <w:rsid w:val="00D25D8F"/>
    <w:rsid w:val="00D268A8"/>
    <w:rsid w:val="00D26A40"/>
    <w:rsid w:val="00D30393"/>
    <w:rsid w:val="00D30541"/>
    <w:rsid w:val="00D31389"/>
    <w:rsid w:val="00D31778"/>
    <w:rsid w:val="00D345B2"/>
    <w:rsid w:val="00D34729"/>
    <w:rsid w:val="00D357D7"/>
    <w:rsid w:val="00D35BA2"/>
    <w:rsid w:val="00D41F5C"/>
    <w:rsid w:val="00D463DE"/>
    <w:rsid w:val="00D475C3"/>
    <w:rsid w:val="00D47B48"/>
    <w:rsid w:val="00D516B7"/>
    <w:rsid w:val="00D530FB"/>
    <w:rsid w:val="00D53BB2"/>
    <w:rsid w:val="00D54222"/>
    <w:rsid w:val="00D552FA"/>
    <w:rsid w:val="00D55E4D"/>
    <w:rsid w:val="00D55E6B"/>
    <w:rsid w:val="00D60AF2"/>
    <w:rsid w:val="00D60CB9"/>
    <w:rsid w:val="00D628C4"/>
    <w:rsid w:val="00D62A8F"/>
    <w:rsid w:val="00D63000"/>
    <w:rsid w:val="00D64DBD"/>
    <w:rsid w:val="00D65FE8"/>
    <w:rsid w:val="00D66883"/>
    <w:rsid w:val="00D6693C"/>
    <w:rsid w:val="00D66E15"/>
    <w:rsid w:val="00D6727E"/>
    <w:rsid w:val="00D711BA"/>
    <w:rsid w:val="00D7239A"/>
    <w:rsid w:val="00D72400"/>
    <w:rsid w:val="00D72498"/>
    <w:rsid w:val="00D72EBD"/>
    <w:rsid w:val="00D7391A"/>
    <w:rsid w:val="00D7497E"/>
    <w:rsid w:val="00D75354"/>
    <w:rsid w:val="00D759CC"/>
    <w:rsid w:val="00D77140"/>
    <w:rsid w:val="00D81EB9"/>
    <w:rsid w:val="00D821A9"/>
    <w:rsid w:val="00D83C2E"/>
    <w:rsid w:val="00D8407A"/>
    <w:rsid w:val="00D84331"/>
    <w:rsid w:val="00D84571"/>
    <w:rsid w:val="00D85628"/>
    <w:rsid w:val="00D8567C"/>
    <w:rsid w:val="00D85AAF"/>
    <w:rsid w:val="00D86684"/>
    <w:rsid w:val="00D91AE1"/>
    <w:rsid w:val="00D91D0E"/>
    <w:rsid w:val="00D91E9F"/>
    <w:rsid w:val="00D93903"/>
    <w:rsid w:val="00D939C8"/>
    <w:rsid w:val="00D945C2"/>
    <w:rsid w:val="00D955E3"/>
    <w:rsid w:val="00D9585F"/>
    <w:rsid w:val="00D9639B"/>
    <w:rsid w:val="00D97647"/>
    <w:rsid w:val="00D977CA"/>
    <w:rsid w:val="00DA00DD"/>
    <w:rsid w:val="00DA5F92"/>
    <w:rsid w:val="00DA6338"/>
    <w:rsid w:val="00DA6894"/>
    <w:rsid w:val="00DA7D30"/>
    <w:rsid w:val="00DA7D76"/>
    <w:rsid w:val="00DB0A65"/>
    <w:rsid w:val="00DB232C"/>
    <w:rsid w:val="00DB2822"/>
    <w:rsid w:val="00DB29CA"/>
    <w:rsid w:val="00DB508B"/>
    <w:rsid w:val="00DB5227"/>
    <w:rsid w:val="00DB54B8"/>
    <w:rsid w:val="00DB5739"/>
    <w:rsid w:val="00DB5E50"/>
    <w:rsid w:val="00DB6472"/>
    <w:rsid w:val="00DC0F7B"/>
    <w:rsid w:val="00DC1D52"/>
    <w:rsid w:val="00DC1E5C"/>
    <w:rsid w:val="00DC36CD"/>
    <w:rsid w:val="00DC3982"/>
    <w:rsid w:val="00DC3B12"/>
    <w:rsid w:val="00DC41B4"/>
    <w:rsid w:val="00DC6418"/>
    <w:rsid w:val="00DC66C0"/>
    <w:rsid w:val="00DC6D2C"/>
    <w:rsid w:val="00DC6DA4"/>
    <w:rsid w:val="00DC753B"/>
    <w:rsid w:val="00DD0238"/>
    <w:rsid w:val="00DD1080"/>
    <w:rsid w:val="00DD116B"/>
    <w:rsid w:val="00DD1B9C"/>
    <w:rsid w:val="00DD2640"/>
    <w:rsid w:val="00DD30F5"/>
    <w:rsid w:val="00DD442B"/>
    <w:rsid w:val="00DD637D"/>
    <w:rsid w:val="00DD6B9B"/>
    <w:rsid w:val="00DD7234"/>
    <w:rsid w:val="00DE0BA4"/>
    <w:rsid w:val="00DE12D3"/>
    <w:rsid w:val="00DE1D37"/>
    <w:rsid w:val="00DE4A10"/>
    <w:rsid w:val="00DE54E8"/>
    <w:rsid w:val="00DE58A7"/>
    <w:rsid w:val="00DF08AD"/>
    <w:rsid w:val="00DF0C4E"/>
    <w:rsid w:val="00DF209C"/>
    <w:rsid w:val="00DF25EE"/>
    <w:rsid w:val="00DF40E6"/>
    <w:rsid w:val="00DF4B38"/>
    <w:rsid w:val="00DF7472"/>
    <w:rsid w:val="00E00433"/>
    <w:rsid w:val="00E006FB"/>
    <w:rsid w:val="00E00E4D"/>
    <w:rsid w:val="00E011CB"/>
    <w:rsid w:val="00E02CFA"/>
    <w:rsid w:val="00E03A1F"/>
    <w:rsid w:val="00E04A15"/>
    <w:rsid w:val="00E05A19"/>
    <w:rsid w:val="00E06A1B"/>
    <w:rsid w:val="00E06D3D"/>
    <w:rsid w:val="00E11C34"/>
    <w:rsid w:val="00E130D5"/>
    <w:rsid w:val="00E13165"/>
    <w:rsid w:val="00E136D9"/>
    <w:rsid w:val="00E142DA"/>
    <w:rsid w:val="00E14418"/>
    <w:rsid w:val="00E149C5"/>
    <w:rsid w:val="00E1627A"/>
    <w:rsid w:val="00E166BD"/>
    <w:rsid w:val="00E16D56"/>
    <w:rsid w:val="00E1702A"/>
    <w:rsid w:val="00E20C12"/>
    <w:rsid w:val="00E2158B"/>
    <w:rsid w:val="00E2300A"/>
    <w:rsid w:val="00E23FB1"/>
    <w:rsid w:val="00E255D3"/>
    <w:rsid w:val="00E25A1B"/>
    <w:rsid w:val="00E269EC"/>
    <w:rsid w:val="00E26AD4"/>
    <w:rsid w:val="00E270BC"/>
    <w:rsid w:val="00E30C6E"/>
    <w:rsid w:val="00E31F88"/>
    <w:rsid w:val="00E32BA4"/>
    <w:rsid w:val="00E32DFE"/>
    <w:rsid w:val="00E339FC"/>
    <w:rsid w:val="00E33CE7"/>
    <w:rsid w:val="00E34739"/>
    <w:rsid w:val="00E34EC8"/>
    <w:rsid w:val="00E40903"/>
    <w:rsid w:val="00E40E49"/>
    <w:rsid w:val="00E41332"/>
    <w:rsid w:val="00E4144F"/>
    <w:rsid w:val="00E42835"/>
    <w:rsid w:val="00E4301F"/>
    <w:rsid w:val="00E43288"/>
    <w:rsid w:val="00E4329D"/>
    <w:rsid w:val="00E44111"/>
    <w:rsid w:val="00E44476"/>
    <w:rsid w:val="00E448D0"/>
    <w:rsid w:val="00E45382"/>
    <w:rsid w:val="00E45DD2"/>
    <w:rsid w:val="00E45E39"/>
    <w:rsid w:val="00E4716C"/>
    <w:rsid w:val="00E47483"/>
    <w:rsid w:val="00E4764A"/>
    <w:rsid w:val="00E5138C"/>
    <w:rsid w:val="00E5234B"/>
    <w:rsid w:val="00E52733"/>
    <w:rsid w:val="00E550D1"/>
    <w:rsid w:val="00E556DB"/>
    <w:rsid w:val="00E55B64"/>
    <w:rsid w:val="00E56B03"/>
    <w:rsid w:val="00E5707B"/>
    <w:rsid w:val="00E57D1F"/>
    <w:rsid w:val="00E60014"/>
    <w:rsid w:val="00E606AA"/>
    <w:rsid w:val="00E60E75"/>
    <w:rsid w:val="00E61366"/>
    <w:rsid w:val="00E61A24"/>
    <w:rsid w:val="00E62C45"/>
    <w:rsid w:val="00E63135"/>
    <w:rsid w:val="00E675D0"/>
    <w:rsid w:val="00E67E96"/>
    <w:rsid w:val="00E70903"/>
    <w:rsid w:val="00E72493"/>
    <w:rsid w:val="00E73423"/>
    <w:rsid w:val="00E73DBE"/>
    <w:rsid w:val="00E771EE"/>
    <w:rsid w:val="00E77215"/>
    <w:rsid w:val="00E77E36"/>
    <w:rsid w:val="00E800D1"/>
    <w:rsid w:val="00E82582"/>
    <w:rsid w:val="00E82ADF"/>
    <w:rsid w:val="00E82C60"/>
    <w:rsid w:val="00E82E5E"/>
    <w:rsid w:val="00E8338B"/>
    <w:rsid w:val="00E851D7"/>
    <w:rsid w:val="00E856F4"/>
    <w:rsid w:val="00E86D98"/>
    <w:rsid w:val="00E91A42"/>
    <w:rsid w:val="00E9232E"/>
    <w:rsid w:val="00E92609"/>
    <w:rsid w:val="00E92768"/>
    <w:rsid w:val="00E93B3B"/>
    <w:rsid w:val="00E94493"/>
    <w:rsid w:val="00E9643A"/>
    <w:rsid w:val="00E964CC"/>
    <w:rsid w:val="00E97A68"/>
    <w:rsid w:val="00EA0350"/>
    <w:rsid w:val="00EA0B04"/>
    <w:rsid w:val="00EA16A9"/>
    <w:rsid w:val="00EA2F29"/>
    <w:rsid w:val="00EA4DDF"/>
    <w:rsid w:val="00EA5278"/>
    <w:rsid w:val="00EA55EE"/>
    <w:rsid w:val="00EA64AF"/>
    <w:rsid w:val="00EA6643"/>
    <w:rsid w:val="00EA74C5"/>
    <w:rsid w:val="00EA78DB"/>
    <w:rsid w:val="00EA793D"/>
    <w:rsid w:val="00EB093C"/>
    <w:rsid w:val="00EB197A"/>
    <w:rsid w:val="00EB19F6"/>
    <w:rsid w:val="00EB28E8"/>
    <w:rsid w:val="00EB2B85"/>
    <w:rsid w:val="00EB2F62"/>
    <w:rsid w:val="00EB4132"/>
    <w:rsid w:val="00EB53F4"/>
    <w:rsid w:val="00EB65E8"/>
    <w:rsid w:val="00EB7723"/>
    <w:rsid w:val="00EC0EF6"/>
    <w:rsid w:val="00EC41F1"/>
    <w:rsid w:val="00EC477D"/>
    <w:rsid w:val="00EC5121"/>
    <w:rsid w:val="00EC55F9"/>
    <w:rsid w:val="00EC62D3"/>
    <w:rsid w:val="00EC6C2B"/>
    <w:rsid w:val="00EC6F7E"/>
    <w:rsid w:val="00EC74D5"/>
    <w:rsid w:val="00ED01B2"/>
    <w:rsid w:val="00ED04AD"/>
    <w:rsid w:val="00ED10C1"/>
    <w:rsid w:val="00ED1646"/>
    <w:rsid w:val="00ED18AA"/>
    <w:rsid w:val="00ED2E24"/>
    <w:rsid w:val="00ED64DA"/>
    <w:rsid w:val="00ED6BAF"/>
    <w:rsid w:val="00ED6F05"/>
    <w:rsid w:val="00EE0C2D"/>
    <w:rsid w:val="00EE0F88"/>
    <w:rsid w:val="00EE17D9"/>
    <w:rsid w:val="00EE1DB3"/>
    <w:rsid w:val="00EE268C"/>
    <w:rsid w:val="00EE28BA"/>
    <w:rsid w:val="00EE2CDA"/>
    <w:rsid w:val="00EE315F"/>
    <w:rsid w:val="00EE4C24"/>
    <w:rsid w:val="00EE6DD7"/>
    <w:rsid w:val="00EF03C5"/>
    <w:rsid w:val="00EF1106"/>
    <w:rsid w:val="00EF1703"/>
    <w:rsid w:val="00EF1A44"/>
    <w:rsid w:val="00EF1D8B"/>
    <w:rsid w:val="00EF445C"/>
    <w:rsid w:val="00EF5502"/>
    <w:rsid w:val="00EF619E"/>
    <w:rsid w:val="00EF68B9"/>
    <w:rsid w:val="00EF76A9"/>
    <w:rsid w:val="00F009C4"/>
    <w:rsid w:val="00F014B1"/>
    <w:rsid w:val="00F0237B"/>
    <w:rsid w:val="00F03A75"/>
    <w:rsid w:val="00F03CC3"/>
    <w:rsid w:val="00F0502F"/>
    <w:rsid w:val="00F05C0B"/>
    <w:rsid w:val="00F0726B"/>
    <w:rsid w:val="00F076D7"/>
    <w:rsid w:val="00F07C8C"/>
    <w:rsid w:val="00F11460"/>
    <w:rsid w:val="00F13412"/>
    <w:rsid w:val="00F13632"/>
    <w:rsid w:val="00F13AB6"/>
    <w:rsid w:val="00F13E82"/>
    <w:rsid w:val="00F13E9C"/>
    <w:rsid w:val="00F161E1"/>
    <w:rsid w:val="00F16620"/>
    <w:rsid w:val="00F170F7"/>
    <w:rsid w:val="00F17E1E"/>
    <w:rsid w:val="00F20918"/>
    <w:rsid w:val="00F228BC"/>
    <w:rsid w:val="00F2290E"/>
    <w:rsid w:val="00F22C04"/>
    <w:rsid w:val="00F23BBC"/>
    <w:rsid w:val="00F2472D"/>
    <w:rsid w:val="00F24866"/>
    <w:rsid w:val="00F24BB1"/>
    <w:rsid w:val="00F25C14"/>
    <w:rsid w:val="00F26411"/>
    <w:rsid w:val="00F273C4"/>
    <w:rsid w:val="00F27B6A"/>
    <w:rsid w:val="00F30B48"/>
    <w:rsid w:val="00F3210A"/>
    <w:rsid w:val="00F349C2"/>
    <w:rsid w:val="00F35BAD"/>
    <w:rsid w:val="00F37ABA"/>
    <w:rsid w:val="00F409CE"/>
    <w:rsid w:val="00F40DB2"/>
    <w:rsid w:val="00F4153E"/>
    <w:rsid w:val="00F418D9"/>
    <w:rsid w:val="00F41DDE"/>
    <w:rsid w:val="00F42575"/>
    <w:rsid w:val="00F4262B"/>
    <w:rsid w:val="00F42CBE"/>
    <w:rsid w:val="00F42D12"/>
    <w:rsid w:val="00F43819"/>
    <w:rsid w:val="00F43B37"/>
    <w:rsid w:val="00F45DE7"/>
    <w:rsid w:val="00F4790A"/>
    <w:rsid w:val="00F47B9A"/>
    <w:rsid w:val="00F51653"/>
    <w:rsid w:val="00F51866"/>
    <w:rsid w:val="00F51E26"/>
    <w:rsid w:val="00F52ADE"/>
    <w:rsid w:val="00F53E60"/>
    <w:rsid w:val="00F540E1"/>
    <w:rsid w:val="00F5449B"/>
    <w:rsid w:val="00F5483C"/>
    <w:rsid w:val="00F557B0"/>
    <w:rsid w:val="00F5584C"/>
    <w:rsid w:val="00F575B0"/>
    <w:rsid w:val="00F5795C"/>
    <w:rsid w:val="00F57AF3"/>
    <w:rsid w:val="00F6033A"/>
    <w:rsid w:val="00F60DC7"/>
    <w:rsid w:val="00F60F4A"/>
    <w:rsid w:val="00F613F1"/>
    <w:rsid w:val="00F6167A"/>
    <w:rsid w:val="00F62385"/>
    <w:rsid w:val="00F6281E"/>
    <w:rsid w:val="00F632AB"/>
    <w:rsid w:val="00F63873"/>
    <w:rsid w:val="00F63EE8"/>
    <w:rsid w:val="00F64B69"/>
    <w:rsid w:val="00F6594E"/>
    <w:rsid w:val="00F6612C"/>
    <w:rsid w:val="00F67278"/>
    <w:rsid w:val="00F70142"/>
    <w:rsid w:val="00F70494"/>
    <w:rsid w:val="00F7094F"/>
    <w:rsid w:val="00F70EE5"/>
    <w:rsid w:val="00F71EF6"/>
    <w:rsid w:val="00F72B84"/>
    <w:rsid w:val="00F72FDE"/>
    <w:rsid w:val="00F743F5"/>
    <w:rsid w:val="00F75255"/>
    <w:rsid w:val="00F802D0"/>
    <w:rsid w:val="00F822A4"/>
    <w:rsid w:val="00F8292D"/>
    <w:rsid w:val="00F82A80"/>
    <w:rsid w:val="00F82CAB"/>
    <w:rsid w:val="00F82D03"/>
    <w:rsid w:val="00F8340F"/>
    <w:rsid w:val="00F85F20"/>
    <w:rsid w:val="00F8703D"/>
    <w:rsid w:val="00F87619"/>
    <w:rsid w:val="00F87E8B"/>
    <w:rsid w:val="00F92B1D"/>
    <w:rsid w:val="00F9333A"/>
    <w:rsid w:val="00F93B71"/>
    <w:rsid w:val="00F94B4D"/>
    <w:rsid w:val="00F94C51"/>
    <w:rsid w:val="00F94D3F"/>
    <w:rsid w:val="00F9582C"/>
    <w:rsid w:val="00F97182"/>
    <w:rsid w:val="00FA0088"/>
    <w:rsid w:val="00FA07D1"/>
    <w:rsid w:val="00FA0F92"/>
    <w:rsid w:val="00FA1126"/>
    <w:rsid w:val="00FA340C"/>
    <w:rsid w:val="00FA3AB0"/>
    <w:rsid w:val="00FA42C9"/>
    <w:rsid w:val="00FA51CA"/>
    <w:rsid w:val="00FA5412"/>
    <w:rsid w:val="00FA63E1"/>
    <w:rsid w:val="00FA715F"/>
    <w:rsid w:val="00FA7B0B"/>
    <w:rsid w:val="00FA7E61"/>
    <w:rsid w:val="00FB036B"/>
    <w:rsid w:val="00FB0F81"/>
    <w:rsid w:val="00FB105F"/>
    <w:rsid w:val="00FB111B"/>
    <w:rsid w:val="00FB1A1B"/>
    <w:rsid w:val="00FB1F4C"/>
    <w:rsid w:val="00FB2483"/>
    <w:rsid w:val="00FB2881"/>
    <w:rsid w:val="00FB3115"/>
    <w:rsid w:val="00FB45D1"/>
    <w:rsid w:val="00FB6ADF"/>
    <w:rsid w:val="00FC3059"/>
    <w:rsid w:val="00FC36D2"/>
    <w:rsid w:val="00FC3A78"/>
    <w:rsid w:val="00FC3D11"/>
    <w:rsid w:val="00FC3D27"/>
    <w:rsid w:val="00FC54E3"/>
    <w:rsid w:val="00FD237B"/>
    <w:rsid w:val="00FD2A5F"/>
    <w:rsid w:val="00FD338B"/>
    <w:rsid w:val="00FD3431"/>
    <w:rsid w:val="00FD36A8"/>
    <w:rsid w:val="00FD61E7"/>
    <w:rsid w:val="00FD6CB3"/>
    <w:rsid w:val="00FE1397"/>
    <w:rsid w:val="00FE1E7F"/>
    <w:rsid w:val="00FE1F2A"/>
    <w:rsid w:val="00FE2281"/>
    <w:rsid w:val="00FE22E1"/>
    <w:rsid w:val="00FE2726"/>
    <w:rsid w:val="00FE367F"/>
    <w:rsid w:val="00FE3C30"/>
    <w:rsid w:val="00FE421B"/>
    <w:rsid w:val="00FE48D8"/>
    <w:rsid w:val="00FE528C"/>
    <w:rsid w:val="00FE58C3"/>
    <w:rsid w:val="00FE5D02"/>
    <w:rsid w:val="00FE6E00"/>
    <w:rsid w:val="00FF2862"/>
    <w:rsid w:val="00FF47A5"/>
    <w:rsid w:val="00FF5B11"/>
    <w:rsid w:val="00FF63F2"/>
    <w:rsid w:val="00FF6A87"/>
    <w:rsid w:val="00FF789E"/>
    <w:rsid w:val="00FF79C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0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Affiliation">
    <w:name w:val="IEEE Author Affiliation"/>
    <w:basedOn w:val="Normal"/>
    <w:next w:val="Normal"/>
    <w:rsid w:val="007E1056"/>
    <w:pPr>
      <w:spacing w:after="60"/>
      <w:jc w:val="center"/>
    </w:pPr>
    <w:rPr>
      <w:i/>
      <w:sz w:val="20"/>
      <w:lang w:val="en-GB" w:eastAsia="en-GB"/>
    </w:rPr>
  </w:style>
  <w:style w:type="paragraph" w:styleId="BodyText">
    <w:name w:val="Body Text"/>
    <w:basedOn w:val="Normal"/>
    <w:link w:val="BodyTextChar"/>
    <w:uiPriority w:val="1"/>
    <w:qFormat/>
    <w:rsid w:val="00DC6DA4"/>
    <w:pPr>
      <w:widowControl w:val="0"/>
    </w:pPr>
  </w:style>
  <w:style w:type="character" w:customStyle="1" w:styleId="BodyTextChar">
    <w:name w:val="Body Text Char"/>
    <w:basedOn w:val="DefaultParagraphFont"/>
    <w:link w:val="BodyText"/>
    <w:uiPriority w:val="1"/>
    <w:rsid w:val="00DC6DA4"/>
    <w:rPr>
      <w:rFonts w:ascii="Times New Roman" w:eastAsia="Times New Roman" w:hAnsi="Times New Roman" w:cs="Times New Roman"/>
      <w:sz w:val="24"/>
      <w:szCs w:val="24"/>
    </w:rPr>
  </w:style>
  <w:style w:type="paragraph" w:styleId="ListParagraph">
    <w:name w:val="List Paragraph"/>
    <w:aliases w:val="Body of text"/>
    <w:basedOn w:val="Normal"/>
    <w:link w:val="ListParagraphChar"/>
    <w:uiPriority w:val="34"/>
    <w:qFormat/>
    <w:rsid w:val="00186DC2"/>
    <w:pPr>
      <w:ind w:left="720"/>
      <w:contextualSpacing/>
    </w:pPr>
  </w:style>
  <w:style w:type="character" w:customStyle="1" w:styleId="ListParagraphChar">
    <w:name w:val="List Paragraph Char"/>
    <w:aliases w:val="Body of text Char"/>
    <w:basedOn w:val="DefaultParagraphFont"/>
    <w:link w:val="ListParagraph"/>
    <w:uiPriority w:val="34"/>
    <w:locked/>
    <w:rsid w:val="00186DC2"/>
    <w:rPr>
      <w:rFonts w:ascii="Times New Roman" w:eastAsia="Times New Roman" w:hAnsi="Times New Roman" w:cs="Times New Roman"/>
      <w:sz w:val="24"/>
      <w:szCs w:val="24"/>
    </w:rPr>
  </w:style>
  <w:style w:type="table" w:styleId="TableGrid">
    <w:name w:val="Table Grid"/>
    <w:basedOn w:val="TableNormal"/>
    <w:uiPriority w:val="59"/>
    <w:rsid w:val="00186D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43001"/>
    <w:pPr>
      <w:tabs>
        <w:tab w:val="center" w:pos="4680"/>
        <w:tab w:val="right" w:pos="9360"/>
      </w:tabs>
    </w:pPr>
  </w:style>
  <w:style w:type="character" w:customStyle="1" w:styleId="HeaderChar">
    <w:name w:val="Header Char"/>
    <w:basedOn w:val="DefaultParagraphFont"/>
    <w:link w:val="Header"/>
    <w:uiPriority w:val="99"/>
    <w:semiHidden/>
    <w:rsid w:val="00B43001"/>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B43001"/>
    <w:pPr>
      <w:tabs>
        <w:tab w:val="center" w:pos="4680"/>
        <w:tab w:val="right" w:pos="9360"/>
      </w:tabs>
    </w:pPr>
  </w:style>
  <w:style w:type="character" w:customStyle="1" w:styleId="FooterChar">
    <w:name w:val="Footer Char"/>
    <w:basedOn w:val="DefaultParagraphFont"/>
    <w:link w:val="Footer"/>
    <w:uiPriority w:val="99"/>
    <w:semiHidden/>
    <w:rsid w:val="00B43001"/>
    <w:rPr>
      <w:rFonts w:ascii="Times New Roman" w:eastAsia="Times New Roman" w:hAnsi="Times New Roman" w:cs="Times New Roman"/>
      <w:sz w:val="24"/>
      <w:szCs w:val="24"/>
    </w:rPr>
  </w:style>
  <w:style w:type="paragraph" w:customStyle="1" w:styleId="PaperTitle">
    <w:name w:val="PaperTitle"/>
    <w:basedOn w:val="Normal"/>
    <w:rsid w:val="00416DCE"/>
    <w:pPr>
      <w:tabs>
        <w:tab w:val="left" w:pos="0"/>
      </w:tabs>
      <w:spacing w:before="120" w:after="400"/>
      <w:ind w:right="11"/>
      <w:jc w:val="both"/>
    </w:pPr>
    <w:rPr>
      <w:rFonts w:ascii="Century" w:eastAsia="MS Mincho" w:hAnsi="Century" w:cs="Century"/>
      <w:b/>
      <w:bCs/>
      <w:spacing w:val="-16"/>
      <w:kern w:val="24"/>
      <w:position w:val="10"/>
      <w:sz w:val="36"/>
      <w:szCs w:val="36"/>
      <w:lang w:eastAsia="ja-JP"/>
    </w:rPr>
  </w:style>
  <w:style w:type="paragraph" w:customStyle="1" w:styleId="SammaryHeader">
    <w:name w:val="SammaryHeader"/>
    <w:basedOn w:val="Normal"/>
    <w:next w:val="Normal"/>
    <w:rsid w:val="00416DCE"/>
    <w:pPr>
      <w:keepNext/>
      <w:ind w:left="235" w:hangingChars="117" w:hanging="235"/>
      <w:jc w:val="both"/>
    </w:pPr>
    <w:rPr>
      <w:rFonts w:eastAsia="MS Mincho"/>
      <w:b/>
      <w:bCs/>
      <w:kern w:val="28"/>
      <w:sz w:val="20"/>
      <w:szCs w:val="20"/>
      <w:lang w:eastAsia="ja-JP"/>
    </w:rPr>
  </w:style>
  <w:style w:type="paragraph" w:customStyle="1" w:styleId="ChapterTitle">
    <w:name w:val="Chapter Title"/>
    <w:basedOn w:val="Normal"/>
    <w:next w:val="Normal"/>
    <w:rsid w:val="00416DCE"/>
    <w:pPr>
      <w:keepNext/>
      <w:spacing w:before="400" w:after="200"/>
      <w:ind w:left="282" w:hangingChars="117" w:hanging="282"/>
    </w:pPr>
    <w:rPr>
      <w:rFonts w:eastAsia="MS Mincho"/>
      <w:b/>
      <w:bCs/>
      <w:kern w:val="28"/>
      <w:lang w:eastAsia="ja-JP"/>
    </w:rPr>
  </w:style>
  <w:style w:type="paragraph" w:customStyle="1" w:styleId="TextBody">
    <w:name w:val="TextBody"/>
    <w:basedOn w:val="Normal"/>
    <w:rsid w:val="00416DCE"/>
    <w:pPr>
      <w:ind w:firstLine="397"/>
      <w:jc w:val="both"/>
    </w:pPr>
    <w:rPr>
      <w:rFonts w:eastAsia="MS Mincho"/>
      <w:sz w:val="20"/>
      <w:szCs w:val="20"/>
    </w:rPr>
  </w:style>
  <w:style w:type="paragraph" w:customStyle="1" w:styleId="Reference">
    <w:name w:val="Reference"/>
    <w:basedOn w:val="Normal"/>
    <w:rsid w:val="0022247C"/>
    <w:pPr>
      <w:numPr>
        <w:numId w:val="1"/>
      </w:numPr>
      <w:spacing w:afterLines="400"/>
      <w:ind w:left="357" w:hanging="357"/>
      <w:jc w:val="both"/>
    </w:pPr>
    <w:rPr>
      <w:rFonts w:eastAsia="MS Mincho"/>
      <w:sz w:val="18"/>
      <w:szCs w:val="18"/>
    </w:rPr>
  </w:style>
  <w:style w:type="paragraph" w:customStyle="1" w:styleId="ReferenceHeading">
    <w:name w:val="Reference Heading"/>
    <w:basedOn w:val="SammaryHeader"/>
    <w:next w:val="Reference"/>
    <w:rsid w:val="0022247C"/>
  </w:style>
  <w:style w:type="paragraph" w:styleId="PlainText">
    <w:name w:val="Plain Text"/>
    <w:basedOn w:val="Normal"/>
    <w:link w:val="PlainTextChar"/>
    <w:rsid w:val="0022247C"/>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22247C"/>
    <w:rPr>
      <w:rFonts w:ascii="Courier New" w:eastAsia="SimSun" w:hAnsi="Courier New" w:cs="Courier New"/>
      <w:sz w:val="20"/>
      <w:szCs w:val="20"/>
    </w:rPr>
  </w:style>
  <w:style w:type="paragraph" w:styleId="FootnoteText">
    <w:name w:val="footnote text"/>
    <w:basedOn w:val="Normal"/>
    <w:link w:val="FootnoteTextChar"/>
    <w:rsid w:val="0022247C"/>
    <w:rPr>
      <w:noProof/>
      <w:sz w:val="20"/>
      <w:szCs w:val="20"/>
    </w:rPr>
  </w:style>
  <w:style w:type="character" w:customStyle="1" w:styleId="FootnoteTextChar">
    <w:name w:val="Footnote Text Char"/>
    <w:basedOn w:val="DefaultParagraphFont"/>
    <w:link w:val="FootnoteText"/>
    <w:rsid w:val="0022247C"/>
    <w:rPr>
      <w:rFonts w:ascii="Times New Roman" w:eastAsia="Times New Roman" w:hAnsi="Times New Roman" w:cs="Times New Roman"/>
      <w:noProof/>
      <w:sz w:val="20"/>
      <w:szCs w:val="20"/>
    </w:rPr>
  </w:style>
  <w:style w:type="character" w:customStyle="1" w:styleId="fontstyle01">
    <w:name w:val="fontstyle01"/>
    <w:basedOn w:val="DefaultParagraphFont"/>
    <w:rsid w:val="002C3534"/>
    <w:rPr>
      <w:rFonts w:ascii="Times New Roman" w:hAnsi="Times New Roman" w:cs="Times New Roman" w:hint="default"/>
      <w:b/>
      <w:bCs/>
      <w:i w:val="0"/>
      <w:iCs w:val="0"/>
      <w:color w:val="000000"/>
      <w:sz w:val="20"/>
      <w:szCs w:val="20"/>
    </w:rPr>
  </w:style>
  <w:style w:type="character" w:customStyle="1" w:styleId="fontstyle21">
    <w:name w:val="fontstyle21"/>
    <w:basedOn w:val="DefaultParagraphFont"/>
    <w:rsid w:val="002C3534"/>
    <w:rPr>
      <w:rFonts w:ascii="Times New Roman" w:hAnsi="Times New Roman" w:cs="Times New Roman" w:hint="default"/>
      <w:b w:val="0"/>
      <w:bCs w:val="0"/>
      <w:i w:val="0"/>
      <w:iCs w:val="0"/>
      <w:color w:val="000000"/>
      <w:sz w:val="20"/>
      <w:szCs w:val="20"/>
    </w:rPr>
  </w:style>
  <w:style w:type="character" w:styleId="HTMLTypewriter">
    <w:name w:val="HTML Typewriter"/>
    <w:basedOn w:val="DefaultParagraphFont"/>
    <w:rsid w:val="008610FE"/>
    <w:rPr>
      <w:rFonts w:ascii="Courier New" w:eastAsia="Times New Roman" w:hAnsi="Courier New" w:cs="Courier New"/>
      <w:sz w:val="20"/>
      <w:szCs w:val="20"/>
    </w:rPr>
  </w:style>
  <w:style w:type="character" w:styleId="Hyperlink">
    <w:name w:val="Hyperlink"/>
    <w:basedOn w:val="DefaultParagraphFont"/>
    <w:uiPriority w:val="99"/>
    <w:unhideWhenUsed/>
    <w:rsid w:val="00594DB2"/>
    <w:rPr>
      <w:color w:val="0000FF" w:themeColor="hyperlink"/>
      <w:u w:val="single"/>
    </w:rPr>
  </w:style>
  <w:style w:type="paragraph" w:styleId="BalloonText">
    <w:name w:val="Balloon Text"/>
    <w:basedOn w:val="Normal"/>
    <w:link w:val="BalloonTextChar"/>
    <w:uiPriority w:val="99"/>
    <w:semiHidden/>
    <w:unhideWhenUsed/>
    <w:rsid w:val="001705BA"/>
    <w:rPr>
      <w:rFonts w:ascii="Tahoma" w:hAnsi="Tahoma" w:cs="Tahoma"/>
      <w:sz w:val="16"/>
      <w:szCs w:val="16"/>
    </w:rPr>
  </w:style>
  <w:style w:type="character" w:customStyle="1" w:styleId="BalloonTextChar">
    <w:name w:val="Balloon Text Char"/>
    <w:basedOn w:val="DefaultParagraphFont"/>
    <w:link w:val="BalloonText"/>
    <w:uiPriority w:val="99"/>
    <w:semiHidden/>
    <w:rsid w:val="001705BA"/>
    <w:rPr>
      <w:rFonts w:ascii="Tahoma" w:eastAsia="Times New Roman" w:hAnsi="Tahoma" w:cs="Tahoma"/>
      <w:sz w:val="16"/>
      <w:szCs w:val="16"/>
    </w:rPr>
  </w:style>
  <w:style w:type="character" w:customStyle="1" w:styleId="fontstyle31">
    <w:name w:val="fontstyle31"/>
    <w:basedOn w:val="DefaultParagraphFont"/>
    <w:rsid w:val="007F6F11"/>
    <w:rPr>
      <w:rFonts w:ascii="Gill Sans MT" w:hAnsi="Gill Sans MT" w:hint="default"/>
      <w:b/>
      <w:bCs/>
      <w:i/>
      <w:iCs/>
      <w:color w:val="000000"/>
      <w:sz w:val="22"/>
      <w:szCs w:val="22"/>
    </w:rPr>
  </w:style>
  <w:style w:type="character" w:customStyle="1" w:styleId="fontstyle41">
    <w:name w:val="fontstyle41"/>
    <w:basedOn w:val="DefaultParagraphFont"/>
    <w:rsid w:val="007F6F11"/>
    <w:rPr>
      <w:rFonts w:ascii="Gill Sans MT" w:hAnsi="Gill Sans MT" w:hint="default"/>
      <w:b w:val="0"/>
      <w:bCs w:val="0"/>
      <w:i/>
      <w:iCs/>
      <w:color w:val="000000"/>
      <w:sz w:val="22"/>
      <w:szCs w:val="22"/>
    </w:rPr>
  </w:style>
  <w:style w:type="character" w:customStyle="1" w:styleId="fontstyle11">
    <w:name w:val="fontstyle11"/>
    <w:basedOn w:val="DefaultParagraphFont"/>
    <w:rsid w:val="00A2480C"/>
    <w:rPr>
      <w:rFonts w:ascii="Gill Sans MT" w:hAnsi="Gill Sans MT" w:hint="default"/>
      <w:b w:val="0"/>
      <w:bCs w:val="0"/>
      <w:i w:val="0"/>
      <w:iCs w:val="0"/>
      <w:color w:val="000000"/>
      <w:sz w:val="24"/>
      <w:szCs w:val="24"/>
    </w:rPr>
  </w:style>
  <w:style w:type="character" w:styleId="Strong">
    <w:name w:val="Strong"/>
    <w:basedOn w:val="DefaultParagraphFont"/>
    <w:uiPriority w:val="22"/>
    <w:qFormat/>
    <w:rsid w:val="00E166BD"/>
    <w:rPr>
      <w:b/>
      <w:bCs/>
    </w:rPr>
  </w:style>
  <w:style w:type="character" w:styleId="Emphasis">
    <w:name w:val="Emphasis"/>
    <w:basedOn w:val="DefaultParagraphFont"/>
    <w:uiPriority w:val="20"/>
    <w:qFormat/>
    <w:rsid w:val="00E166BD"/>
    <w:rPr>
      <w:i/>
      <w:iCs/>
    </w:rPr>
  </w:style>
  <w:style w:type="paragraph" w:customStyle="1" w:styleId="Default">
    <w:name w:val="Default"/>
    <w:rsid w:val="00EA5278"/>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1A4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1A436D"/>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5582">
      <w:bodyDiv w:val="1"/>
      <w:marLeft w:val="0"/>
      <w:marRight w:val="0"/>
      <w:marTop w:val="0"/>
      <w:marBottom w:val="0"/>
      <w:divBdr>
        <w:top w:val="none" w:sz="0" w:space="0" w:color="auto"/>
        <w:left w:val="none" w:sz="0" w:space="0" w:color="auto"/>
        <w:bottom w:val="none" w:sz="0" w:space="0" w:color="auto"/>
        <w:right w:val="none" w:sz="0" w:space="0" w:color="auto"/>
      </w:divBdr>
    </w:div>
    <w:div w:id="241531936">
      <w:bodyDiv w:val="1"/>
      <w:marLeft w:val="0"/>
      <w:marRight w:val="0"/>
      <w:marTop w:val="0"/>
      <w:marBottom w:val="0"/>
      <w:divBdr>
        <w:top w:val="none" w:sz="0" w:space="0" w:color="auto"/>
        <w:left w:val="none" w:sz="0" w:space="0" w:color="auto"/>
        <w:bottom w:val="none" w:sz="0" w:space="0" w:color="auto"/>
        <w:right w:val="none" w:sz="0" w:space="0" w:color="auto"/>
      </w:divBdr>
    </w:div>
    <w:div w:id="270745168">
      <w:bodyDiv w:val="1"/>
      <w:marLeft w:val="0"/>
      <w:marRight w:val="0"/>
      <w:marTop w:val="0"/>
      <w:marBottom w:val="0"/>
      <w:divBdr>
        <w:top w:val="none" w:sz="0" w:space="0" w:color="auto"/>
        <w:left w:val="none" w:sz="0" w:space="0" w:color="auto"/>
        <w:bottom w:val="none" w:sz="0" w:space="0" w:color="auto"/>
        <w:right w:val="none" w:sz="0" w:space="0" w:color="auto"/>
      </w:divBdr>
    </w:div>
    <w:div w:id="326329560">
      <w:bodyDiv w:val="1"/>
      <w:marLeft w:val="0"/>
      <w:marRight w:val="0"/>
      <w:marTop w:val="0"/>
      <w:marBottom w:val="0"/>
      <w:divBdr>
        <w:top w:val="none" w:sz="0" w:space="0" w:color="auto"/>
        <w:left w:val="none" w:sz="0" w:space="0" w:color="auto"/>
        <w:bottom w:val="none" w:sz="0" w:space="0" w:color="auto"/>
        <w:right w:val="none" w:sz="0" w:space="0" w:color="auto"/>
      </w:divBdr>
      <w:divsChild>
        <w:div w:id="716658401">
          <w:marLeft w:val="0"/>
          <w:marRight w:val="0"/>
          <w:marTop w:val="0"/>
          <w:marBottom w:val="0"/>
          <w:divBdr>
            <w:top w:val="none" w:sz="0" w:space="0" w:color="auto"/>
            <w:left w:val="none" w:sz="0" w:space="0" w:color="auto"/>
            <w:bottom w:val="none" w:sz="0" w:space="0" w:color="auto"/>
            <w:right w:val="none" w:sz="0" w:space="0" w:color="auto"/>
          </w:divBdr>
        </w:div>
      </w:divsChild>
    </w:div>
    <w:div w:id="470247259">
      <w:bodyDiv w:val="1"/>
      <w:marLeft w:val="0"/>
      <w:marRight w:val="0"/>
      <w:marTop w:val="0"/>
      <w:marBottom w:val="0"/>
      <w:divBdr>
        <w:top w:val="none" w:sz="0" w:space="0" w:color="auto"/>
        <w:left w:val="none" w:sz="0" w:space="0" w:color="auto"/>
        <w:bottom w:val="none" w:sz="0" w:space="0" w:color="auto"/>
        <w:right w:val="none" w:sz="0" w:space="0" w:color="auto"/>
      </w:divBdr>
    </w:div>
    <w:div w:id="502084179">
      <w:bodyDiv w:val="1"/>
      <w:marLeft w:val="0"/>
      <w:marRight w:val="0"/>
      <w:marTop w:val="0"/>
      <w:marBottom w:val="0"/>
      <w:divBdr>
        <w:top w:val="none" w:sz="0" w:space="0" w:color="auto"/>
        <w:left w:val="none" w:sz="0" w:space="0" w:color="auto"/>
        <w:bottom w:val="none" w:sz="0" w:space="0" w:color="auto"/>
        <w:right w:val="none" w:sz="0" w:space="0" w:color="auto"/>
      </w:divBdr>
    </w:div>
    <w:div w:id="557018036">
      <w:bodyDiv w:val="1"/>
      <w:marLeft w:val="0"/>
      <w:marRight w:val="0"/>
      <w:marTop w:val="0"/>
      <w:marBottom w:val="0"/>
      <w:divBdr>
        <w:top w:val="none" w:sz="0" w:space="0" w:color="auto"/>
        <w:left w:val="none" w:sz="0" w:space="0" w:color="auto"/>
        <w:bottom w:val="none" w:sz="0" w:space="0" w:color="auto"/>
        <w:right w:val="none" w:sz="0" w:space="0" w:color="auto"/>
      </w:divBdr>
    </w:div>
    <w:div w:id="663123214">
      <w:bodyDiv w:val="1"/>
      <w:marLeft w:val="0"/>
      <w:marRight w:val="0"/>
      <w:marTop w:val="0"/>
      <w:marBottom w:val="0"/>
      <w:divBdr>
        <w:top w:val="none" w:sz="0" w:space="0" w:color="auto"/>
        <w:left w:val="none" w:sz="0" w:space="0" w:color="auto"/>
        <w:bottom w:val="none" w:sz="0" w:space="0" w:color="auto"/>
        <w:right w:val="none" w:sz="0" w:space="0" w:color="auto"/>
      </w:divBdr>
    </w:div>
    <w:div w:id="700862072">
      <w:bodyDiv w:val="1"/>
      <w:marLeft w:val="0"/>
      <w:marRight w:val="0"/>
      <w:marTop w:val="0"/>
      <w:marBottom w:val="0"/>
      <w:divBdr>
        <w:top w:val="none" w:sz="0" w:space="0" w:color="auto"/>
        <w:left w:val="none" w:sz="0" w:space="0" w:color="auto"/>
        <w:bottom w:val="none" w:sz="0" w:space="0" w:color="auto"/>
        <w:right w:val="none" w:sz="0" w:space="0" w:color="auto"/>
      </w:divBdr>
    </w:div>
    <w:div w:id="822742001">
      <w:bodyDiv w:val="1"/>
      <w:marLeft w:val="0"/>
      <w:marRight w:val="0"/>
      <w:marTop w:val="0"/>
      <w:marBottom w:val="0"/>
      <w:divBdr>
        <w:top w:val="none" w:sz="0" w:space="0" w:color="auto"/>
        <w:left w:val="none" w:sz="0" w:space="0" w:color="auto"/>
        <w:bottom w:val="none" w:sz="0" w:space="0" w:color="auto"/>
        <w:right w:val="none" w:sz="0" w:space="0" w:color="auto"/>
      </w:divBdr>
    </w:div>
    <w:div w:id="905842559">
      <w:bodyDiv w:val="1"/>
      <w:marLeft w:val="0"/>
      <w:marRight w:val="0"/>
      <w:marTop w:val="0"/>
      <w:marBottom w:val="0"/>
      <w:divBdr>
        <w:top w:val="none" w:sz="0" w:space="0" w:color="auto"/>
        <w:left w:val="none" w:sz="0" w:space="0" w:color="auto"/>
        <w:bottom w:val="none" w:sz="0" w:space="0" w:color="auto"/>
        <w:right w:val="none" w:sz="0" w:space="0" w:color="auto"/>
      </w:divBdr>
      <w:divsChild>
        <w:div w:id="1172379307">
          <w:marLeft w:val="0"/>
          <w:marRight w:val="0"/>
          <w:marTop w:val="0"/>
          <w:marBottom w:val="0"/>
          <w:divBdr>
            <w:top w:val="none" w:sz="0" w:space="0" w:color="auto"/>
            <w:left w:val="none" w:sz="0" w:space="0" w:color="auto"/>
            <w:bottom w:val="none" w:sz="0" w:space="0" w:color="auto"/>
            <w:right w:val="none" w:sz="0" w:space="0" w:color="auto"/>
          </w:divBdr>
        </w:div>
        <w:div w:id="1407914988">
          <w:marLeft w:val="0"/>
          <w:marRight w:val="0"/>
          <w:marTop w:val="0"/>
          <w:marBottom w:val="0"/>
          <w:divBdr>
            <w:top w:val="none" w:sz="0" w:space="0" w:color="auto"/>
            <w:left w:val="none" w:sz="0" w:space="0" w:color="auto"/>
            <w:bottom w:val="none" w:sz="0" w:space="0" w:color="auto"/>
            <w:right w:val="none" w:sz="0" w:space="0" w:color="auto"/>
          </w:divBdr>
        </w:div>
        <w:div w:id="1411391486">
          <w:marLeft w:val="0"/>
          <w:marRight w:val="0"/>
          <w:marTop w:val="0"/>
          <w:marBottom w:val="0"/>
          <w:divBdr>
            <w:top w:val="none" w:sz="0" w:space="0" w:color="auto"/>
            <w:left w:val="none" w:sz="0" w:space="0" w:color="auto"/>
            <w:bottom w:val="none" w:sz="0" w:space="0" w:color="auto"/>
            <w:right w:val="none" w:sz="0" w:space="0" w:color="auto"/>
          </w:divBdr>
        </w:div>
        <w:div w:id="1461462434">
          <w:marLeft w:val="0"/>
          <w:marRight w:val="0"/>
          <w:marTop w:val="0"/>
          <w:marBottom w:val="0"/>
          <w:divBdr>
            <w:top w:val="none" w:sz="0" w:space="0" w:color="auto"/>
            <w:left w:val="none" w:sz="0" w:space="0" w:color="auto"/>
            <w:bottom w:val="none" w:sz="0" w:space="0" w:color="auto"/>
            <w:right w:val="none" w:sz="0" w:space="0" w:color="auto"/>
          </w:divBdr>
        </w:div>
      </w:divsChild>
    </w:div>
    <w:div w:id="933903187">
      <w:bodyDiv w:val="1"/>
      <w:marLeft w:val="0"/>
      <w:marRight w:val="0"/>
      <w:marTop w:val="0"/>
      <w:marBottom w:val="0"/>
      <w:divBdr>
        <w:top w:val="none" w:sz="0" w:space="0" w:color="auto"/>
        <w:left w:val="none" w:sz="0" w:space="0" w:color="auto"/>
        <w:bottom w:val="none" w:sz="0" w:space="0" w:color="auto"/>
        <w:right w:val="none" w:sz="0" w:space="0" w:color="auto"/>
      </w:divBdr>
    </w:div>
    <w:div w:id="1058626589">
      <w:bodyDiv w:val="1"/>
      <w:marLeft w:val="0"/>
      <w:marRight w:val="0"/>
      <w:marTop w:val="0"/>
      <w:marBottom w:val="0"/>
      <w:divBdr>
        <w:top w:val="none" w:sz="0" w:space="0" w:color="auto"/>
        <w:left w:val="none" w:sz="0" w:space="0" w:color="auto"/>
        <w:bottom w:val="none" w:sz="0" w:space="0" w:color="auto"/>
        <w:right w:val="none" w:sz="0" w:space="0" w:color="auto"/>
      </w:divBdr>
    </w:div>
    <w:div w:id="1165704210">
      <w:bodyDiv w:val="1"/>
      <w:marLeft w:val="0"/>
      <w:marRight w:val="0"/>
      <w:marTop w:val="0"/>
      <w:marBottom w:val="0"/>
      <w:divBdr>
        <w:top w:val="none" w:sz="0" w:space="0" w:color="auto"/>
        <w:left w:val="none" w:sz="0" w:space="0" w:color="auto"/>
        <w:bottom w:val="none" w:sz="0" w:space="0" w:color="auto"/>
        <w:right w:val="none" w:sz="0" w:space="0" w:color="auto"/>
      </w:divBdr>
    </w:div>
    <w:div w:id="1220241104">
      <w:bodyDiv w:val="1"/>
      <w:marLeft w:val="0"/>
      <w:marRight w:val="0"/>
      <w:marTop w:val="0"/>
      <w:marBottom w:val="0"/>
      <w:divBdr>
        <w:top w:val="none" w:sz="0" w:space="0" w:color="auto"/>
        <w:left w:val="none" w:sz="0" w:space="0" w:color="auto"/>
        <w:bottom w:val="none" w:sz="0" w:space="0" w:color="auto"/>
        <w:right w:val="none" w:sz="0" w:space="0" w:color="auto"/>
      </w:divBdr>
    </w:div>
    <w:div w:id="1508328793">
      <w:bodyDiv w:val="1"/>
      <w:marLeft w:val="0"/>
      <w:marRight w:val="0"/>
      <w:marTop w:val="0"/>
      <w:marBottom w:val="0"/>
      <w:divBdr>
        <w:top w:val="none" w:sz="0" w:space="0" w:color="auto"/>
        <w:left w:val="none" w:sz="0" w:space="0" w:color="auto"/>
        <w:bottom w:val="none" w:sz="0" w:space="0" w:color="auto"/>
        <w:right w:val="none" w:sz="0" w:space="0" w:color="auto"/>
      </w:divBdr>
    </w:div>
    <w:div w:id="1693458733">
      <w:bodyDiv w:val="1"/>
      <w:marLeft w:val="0"/>
      <w:marRight w:val="0"/>
      <w:marTop w:val="0"/>
      <w:marBottom w:val="0"/>
      <w:divBdr>
        <w:top w:val="none" w:sz="0" w:space="0" w:color="auto"/>
        <w:left w:val="none" w:sz="0" w:space="0" w:color="auto"/>
        <w:bottom w:val="none" w:sz="0" w:space="0" w:color="auto"/>
        <w:right w:val="none" w:sz="0" w:space="0" w:color="auto"/>
      </w:divBdr>
    </w:div>
    <w:div w:id="1883011659">
      <w:bodyDiv w:val="1"/>
      <w:marLeft w:val="0"/>
      <w:marRight w:val="0"/>
      <w:marTop w:val="0"/>
      <w:marBottom w:val="0"/>
      <w:divBdr>
        <w:top w:val="none" w:sz="0" w:space="0" w:color="auto"/>
        <w:left w:val="none" w:sz="0" w:space="0" w:color="auto"/>
        <w:bottom w:val="none" w:sz="0" w:space="0" w:color="auto"/>
        <w:right w:val="none" w:sz="0" w:space="0" w:color="auto"/>
      </w:divBdr>
    </w:div>
    <w:div w:id="1972782830">
      <w:bodyDiv w:val="1"/>
      <w:marLeft w:val="0"/>
      <w:marRight w:val="0"/>
      <w:marTop w:val="0"/>
      <w:marBottom w:val="0"/>
      <w:divBdr>
        <w:top w:val="none" w:sz="0" w:space="0" w:color="auto"/>
        <w:left w:val="none" w:sz="0" w:space="0" w:color="auto"/>
        <w:bottom w:val="none" w:sz="0" w:space="0" w:color="auto"/>
        <w:right w:val="none" w:sz="0" w:space="0" w:color="auto"/>
      </w:divBdr>
    </w:div>
    <w:div w:id="1987977320">
      <w:bodyDiv w:val="1"/>
      <w:marLeft w:val="0"/>
      <w:marRight w:val="0"/>
      <w:marTop w:val="0"/>
      <w:marBottom w:val="0"/>
      <w:divBdr>
        <w:top w:val="none" w:sz="0" w:space="0" w:color="auto"/>
        <w:left w:val="none" w:sz="0" w:space="0" w:color="auto"/>
        <w:bottom w:val="none" w:sz="0" w:space="0" w:color="auto"/>
        <w:right w:val="none" w:sz="0" w:space="0" w:color="auto"/>
      </w:divBdr>
    </w:div>
    <w:div w:id="200234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jk.go.id" TargetMode="External"/><Relationship Id="rId4" Type="http://schemas.microsoft.com/office/2007/relationships/stylesWithEffects" Target="stylesWithEffects.xml"/><Relationship Id="rId9" Type="http://schemas.openxmlformats.org/officeDocument/2006/relationships/hyperlink" Target="mailto:Dedi.su@amiktunasbangsa.ac.id"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id-ID" sz="1050" b="0">
                <a:effectLst/>
                <a:latin typeface="+mn-lt"/>
                <a:cs typeface="Times New Roman" pitchFamily="18" charset="0"/>
              </a:rPr>
              <a:t>Perkembangan dan Pertumbuhan BUS, USS dan BPRS </a:t>
            </a:r>
          </a:p>
          <a:p>
            <a:pPr>
              <a:defRPr/>
            </a:pPr>
            <a:r>
              <a:rPr lang="id-ID" sz="1050" b="0">
                <a:effectLst/>
                <a:latin typeface="+mn-lt"/>
                <a:cs typeface="Times New Roman" pitchFamily="18" charset="0"/>
              </a:rPr>
              <a:t>Tahun 2007 sampai 2017</a:t>
            </a:r>
            <a:endParaRPr lang="id-ID" sz="1050" b="0">
              <a:latin typeface="+mn-lt"/>
              <a:cs typeface="Times New Roman" pitchFamily="18" charset="0"/>
            </a:endParaRPr>
          </a:p>
        </c:rich>
      </c:tx>
      <c:layout>
        <c:manualLayout>
          <c:xMode val="edge"/>
          <c:yMode val="edge"/>
          <c:x val="0.2781810038250338"/>
          <c:y val="2.5624313312580114E-2"/>
        </c:manualLayout>
      </c:layout>
      <c:overlay val="0"/>
    </c:title>
    <c:autoTitleDeleted val="0"/>
    <c:plotArea>
      <c:layout/>
      <c:barChart>
        <c:barDir val="col"/>
        <c:grouping val="clustered"/>
        <c:varyColors val="0"/>
        <c:ser>
          <c:idx val="0"/>
          <c:order val="0"/>
          <c:tx>
            <c:strRef>
              <c:f>Sheet1!$B$1</c:f>
              <c:strCache>
                <c:ptCount val="1"/>
                <c:pt idx="0">
                  <c:v>BUS</c:v>
                </c:pt>
              </c:strCache>
            </c:strRef>
          </c:tx>
          <c:invertIfNegative val="0"/>
          <c:dLbls>
            <c:dLbl>
              <c:idx val="0"/>
              <c:layout>
                <c:manualLayout>
                  <c:x val="0"/>
                  <c:y val="1.8264840182648401E-2"/>
                </c:manualLayout>
              </c:layout>
              <c:dLblPos val="outEnd"/>
              <c:showLegendKey val="0"/>
              <c:showVal val="1"/>
              <c:showCatName val="0"/>
              <c:showSerName val="0"/>
              <c:showPercent val="0"/>
              <c:showBubbleSize val="0"/>
            </c:dLbl>
            <c:dLbl>
              <c:idx val="1"/>
              <c:layout>
                <c:manualLayout>
                  <c:x val="0"/>
                  <c:y val="2.5570776255707764E-2"/>
                </c:manualLayout>
              </c:layout>
              <c:dLblPos val="outEnd"/>
              <c:showLegendKey val="0"/>
              <c:showVal val="1"/>
              <c:showCatName val="0"/>
              <c:showSerName val="0"/>
              <c:showPercent val="0"/>
              <c:showBubbleSize val="0"/>
            </c:dLbl>
            <c:dLbl>
              <c:idx val="2"/>
              <c:layout>
                <c:manualLayout>
                  <c:x val="0"/>
                  <c:y val="2.1917808219178082E-2"/>
                </c:manualLayout>
              </c:layout>
              <c:dLblPos val="outEnd"/>
              <c:showLegendKey val="0"/>
              <c:showVal val="1"/>
              <c:showCatName val="0"/>
              <c:showSerName val="0"/>
              <c:showPercent val="0"/>
              <c:showBubbleSize val="0"/>
            </c:dLbl>
            <c:dLbl>
              <c:idx val="3"/>
              <c:layout>
                <c:manualLayout>
                  <c:x val="4.0876525189629406E-17"/>
                  <c:y val="2.1917808219178082E-2"/>
                </c:manualLayout>
              </c:layout>
              <c:dLblPos val="outEnd"/>
              <c:showLegendKey val="0"/>
              <c:showVal val="1"/>
              <c:showCatName val="0"/>
              <c:showSerName val="0"/>
              <c:showPercent val="0"/>
              <c:showBubbleSize val="0"/>
            </c:dLbl>
            <c:dLbl>
              <c:idx val="4"/>
              <c:layout>
                <c:manualLayout>
                  <c:x val="0"/>
                  <c:y val="2.1917808219178082E-2"/>
                </c:manualLayout>
              </c:layout>
              <c:dLblPos val="outEnd"/>
              <c:showLegendKey val="0"/>
              <c:showVal val="1"/>
              <c:showCatName val="0"/>
              <c:showSerName val="0"/>
              <c:showPercent val="0"/>
              <c:showBubbleSize val="0"/>
            </c:dLbl>
            <c:dLbl>
              <c:idx val="5"/>
              <c:layout>
                <c:manualLayout>
                  <c:x val="0"/>
                  <c:y val="2.1917808219178082E-2"/>
                </c:manualLayout>
              </c:layout>
              <c:dLblPos val="outEnd"/>
              <c:showLegendKey val="0"/>
              <c:showVal val="1"/>
              <c:showCatName val="0"/>
              <c:showSerName val="0"/>
              <c:showPercent val="0"/>
              <c:showBubbleSize val="0"/>
            </c:dLbl>
            <c:dLbl>
              <c:idx val="6"/>
              <c:layout>
                <c:manualLayout>
                  <c:x val="8.1753050379258811E-17"/>
                  <c:y val="2.1917808219178082E-2"/>
                </c:manualLayout>
              </c:layout>
              <c:dLblPos val="outEnd"/>
              <c:showLegendKey val="0"/>
              <c:showVal val="1"/>
              <c:showCatName val="0"/>
              <c:showSerName val="0"/>
              <c:showPercent val="0"/>
              <c:showBubbleSize val="0"/>
            </c:dLbl>
            <c:dLbl>
              <c:idx val="7"/>
              <c:layout>
                <c:manualLayout>
                  <c:x val="0"/>
                  <c:y val="1.8264840182648401E-2"/>
                </c:manualLayout>
              </c:layout>
              <c:dLblPos val="outEnd"/>
              <c:showLegendKey val="0"/>
              <c:showVal val="1"/>
              <c:showCatName val="0"/>
              <c:showSerName val="0"/>
              <c:showPercent val="0"/>
              <c:showBubbleSize val="0"/>
            </c:dLbl>
            <c:dLbl>
              <c:idx val="8"/>
              <c:layout>
                <c:manualLayout>
                  <c:x val="0"/>
                  <c:y val="1.4611872146118721E-2"/>
                </c:manualLayout>
              </c:layout>
              <c:dLblPos val="outEnd"/>
              <c:showLegendKey val="0"/>
              <c:showVal val="1"/>
              <c:showCatName val="0"/>
              <c:showSerName val="0"/>
              <c:showPercent val="0"/>
              <c:showBubbleSize val="0"/>
            </c:dLbl>
            <c:dLbl>
              <c:idx val="9"/>
              <c:layout>
                <c:manualLayout>
                  <c:x val="0"/>
                  <c:y val="1.4611872146118721E-2"/>
                </c:manualLayout>
              </c:layout>
              <c:dLblPos val="outEnd"/>
              <c:showLegendKey val="0"/>
              <c:showVal val="1"/>
              <c:showCatName val="0"/>
              <c:showSerName val="0"/>
              <c:showPercent val="0"/>
              <c:showBubbleSize val="0"/>
            </c:dLbl>
            <c:dLbl>
              <c:idx val="10"/>
              <c:layout>
                <c:manualLayout>
                  <c:x val="0"/>
                  <c:y val="1.8264840182648401E-2"/>
                </c:manualLayout>
              </c:layout>
              <c:dLblPos val="outEnd"/>
              <c:showLegendKey val="0"/>
              <c:showVal val="1"/>
              <c:showCatName val="0"/>
              <c:showSerName val="0"/>
              <c:showPercent val="0"/>
              <c:showBubbleSize val="0"/>
            </c:dLbl>
            <c:txPr>
              <a:bodyPr/>
              <a:lstStyle/>
              <a:p>
                <a:pPr>
                  <a:defRPr sz="793"/>
                </a:pPr>
                <a:endParaRPr lang="id-ID"/>
              </a:p>
            </c:txPr>
            <c:dLblPos val="outEnd"/>
            <c:showLegendKey val="0"/>
            <c:showVal val="1"/>
            <c:showCatName val="0"/>
            <c:showSerName val="0"/>
            <c:showPercent val="0"/>
            <c:showBubbleSize val="0"/>
            <c:showLeaderLines val="0"/>
          </c:dLbls>
          <c:cat>
            <c:numRef>
              <c:f>Sheet1!$A$2:$A$12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Sheet1!$B$2:$B$12</c:f>
              <c:numCache>
                <c:formatCode>General</c:formatCode>
                <c:ptCount val="11"/>
                <c:pt idx="0">
                  <c:v>3</c:v>
                </c:pt>
                <c:pt idx="1">
                  <c:v>5</c:v>
                </c:pt>
                <c:pt idx="2">
                  <c:v>6</c:v>
                </c:pt>
                <c:pt idx="3">
                  <c:v>11</c:v>
                </c:pt>
                <c:pt idx="4">
                  <c:v>11</c:v>
                </c:pt>
                <c:pt idx="5">
                  <c:v>11</c:v>
                </c:pt>
                <c:pt idx="6">
                  <c:v>11</c:v>
                </c:pt>
                <c:pt idx="7">
                  <c:v>12</c:v>
                </c:pt>
                <c:pt idx="8">
                  <c:v>12</c:v>
                </c:pt>
                <c:pt idx="9">
                  <c:v>13</c:v>
                </c:pt>
                <c:pt idx="10">
                  <c:v>13</c:v>
                </c:pt>
              </c:numCache>
            </c:numRef>
          </c:val>
        </c:ser>
        <c:ser>
          <c:idx val="1"/>
          <c:order val="1"/>
          <c:tx>
            <c:strRef>
              <c:f>Sheet1!$C$1</c:f>
              <c:strCache>
                <c:ptCount val="1"/>
                <c:pt idx="0">
                  <c:v>USS</c:v>
                </c:pt>
              </c:strCache>
            </c:strRef>
          </c:tx>
          <c:invertIfNegative val="0"/>
          <c:dLbls>
            <c:txPr>
              <a:bodyPr/>
              <a:lstStyle/>
              <a:p>
                <a:pPr>
                  <a:defRPr sz="793"/>
                </a:pPr>
                <a:endParaRPr lang="id-ID"/>
              </a:p>
            </c:txPr>
            <c:dLblPos val="outEnd"/>
            <c:showLegendKey val="0"/>
            <c:showVal val="1"/>
            <c:showCatName val="0"/>
            <c:showSerName val="0"/>
            <c:showPercent val="0"/>
            <c:showBubbleSize val="0"/>
            <c:showLeaderLines val="0"/>
          </c:dLbls>
          <c:cat>
            <c:numRef>
              <c:f>Sheet1!$A$2:$A$12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Sheet1!$C$2:$C$12</c:f>
              <c:numCache>
                <c:formatCode>General</c:formatCode>
                <c:ptCount val="11"/>
                <c:pt idx="0">
                  <c:v>26</c:v>
                </c:pt>
                <c:pt idx="1">
                  <c:v>27</c:v>
                </c:pt>
                <c:pt idx="2">
                  <c:v>25</c:v>
                </c:pt>
                <c:pt idx="3">
                  <c:v>23</c:v>
                </c:pt>
                <c:pt idx="4">
                  <c:v>23</c:v>
                </c:pt>
                <c:pt idx="5">
                  <c:v>24</c:v>
                </c:pt>
                <c:pt idx="6">
                  <c:v>23</c:v>
                </c:pt>
                <c:pt idx="7">
                  <c:v>22</c:v>
                </c:pt>
                <c:pt idx="8">
                  <c:v>22</c:v>
                </c:pt>
                <c:pt idx="9">
                  <c:v>21</c:v>
                </c:pt>
                <c:pt idx="10">
                  <c:v>21</c:v>
                </c:pt>
              </c:numCache>
            </c:numRef>
          </c:val>
        </c:ser>
        <c:ser>
          <c:idx val="2"/>
          <c:order val="2"/>
          <c:tx>
            <c:strRef>
              <c:f>Sheet1!$D$1</c:f>
              <c:strCache>
                <c:ptCount val="1"/>
                <c:pt idx="0">
                  <c:v>BPRS</c:v>
                </c:pt>
              </c:strCache>
            </c:strRef>
          </c:tx>
          <c:invertIfNegative val="0"/>
          <c:dLbls>
            <c:txPr>
              <a:bodyPr/>
              <a:lstStyle/>
              <a:p>
                <a:pPr>
                  <a:defRPr sz="793"/>
                </a:pPr>
                <a:endParaRPr lang="id-ID"/>
              </a:p>
            </c:txPr>
            <c:dLblPos val="outEnd"/>
            <c:showLegendKey val="0"/>
            <c:showVal val="1"/>
            <c:showCatName val="0"/>
            <c:showSerName val="0"/>
            <c:showPercent val="0"/>
            <c:showBubbleSize val="0"/>
            <c:showLeaderLines val="0"/>
          </c:dLbls>
          <c:cat>
            <c:numRef>
              <c:f>Sheet1!$A$2:$A$12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Sheet1!$D$2:$D$12</c:f>
              <c:numCache>
                <c:formatCode>General</c:formatCode>
                <c:ptCount val="11"/>
                <c:pt idx="0">
                  <c:v>114</c:v>
                </c:pt>
                <c:pt idx="1">
                  <c:v>131</c:v>
                </c:pt>
                <c:pt idx="2">
                  <c:v>138</c:v>
                </c:pt>
                <c:pt idx="3">
                  <c:v>150</c:v>
                </c:pt>
                <c:pt idx="4">
                  <c:v>155</c:v>
                </c:pt>
                <c:pt idx="5">
                  <c:v>158</c:v>
                </c:pt>
                <c:pt idx="6">
                  <c:v>163</c:v>
                </c:pt>
                <c:pt idx="7">
                  <c:v>163</c:v>
                </c:pt>
                <c:pt idx="8">
                  <c:v>163</c:v>
                </c:pt>
                <c:pt idx="9">
                  <c:v>166</c:v>
                </c:pt>
                <c:pt idx="10">
                  <c:v>167</c:v>
                </c:pt>
              </c:numCache>
            </c:numRef>
          </c:val>
        </c:ser>
        <c:dLbls>
          <c:showLegendKey val="0"/>
          <c:showVal val="0"/>
          <c:showCatName val="0"/>
          <c:showSerName val="0"/>
          <c:showPercent val="0"/>
          <c:showBubbleSize val="0"/>
        </c:dLbls>
        <c:gapWidth val="75"/>
        <c:overlap val="-25"/>
        <c:axId val="160992640"/>
        <c:axId val="160998528"/>
      </c:barChart>
      <c:catAx>
        <c:axId val="160992640"/>
        <c:scaling>
          <c:orientation val="minMax"/>
        </c:scaling>
        <c:delete val="0"/>
        <c:axPos val="b"/>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id-ID"/>
          </a:p>
        </c:txPr>
        <c:crossAx val="160998528"/>
        <c:crosses val="autoZero"/>
        <c:auto val="1"/>
        <c:lblAlgn val="ctr"/>
        <c:lblOffset val="100"/>
        <c:noMultiLvlLbl val="0"/>
      </c:catAx>
      <c:valAx>
        <c:axId val="160998528"/>
        <c:scaling>
          <c:orientation val="minMax"/>
        </c:scaling>
        <c:delete val="0"/>
        <c:axPos val="l"/>
        <c:majorGridlines/>
        <c:title>
          <c:tx>
            <c:rich>
              <a:bodyPr/>
              <a:lstStyle/>
              <a:p>
                <a:pPr>
                  <a:defRPr sz="994" b="0" i="0" u="none" strike="noStrike" baseline="0">
                    <a:solidFill>
                      <a:srgbClr val="000000"/>
                    </a:solidFill>
                    <a:latin typeface="Calibri"/>
                    <a:ea typeface="Calibri"/>
                    <a:cs typeface="Calibri"/>
                  </a:defRPr>
                </a:pPr>
                <a:r>
                  <a:rPr lang="id-ID"/>
                  <a:t>Tingkat Pertumbuhan</a:t>
                </a:r>
              </a:p>
            </c:rich>
          </c:tx>
          <c:layout>
            <c:manualLayout>
              <c:xMode val="edge"/>
              <c:yMode val="edge"/>
              <c:x val="1.8434146551353212E-2"/>
              <c:y val="0.14256215320565035"/>
            </c:manualLayout>
          </c:layout>
          <c:overlay val="0"/>
        </c:title>
        <c:numFmt formatCode="General" sourceLinked="1"/>
        <c:majorTickMark val="none"/>
        <c:minorTickMark val="none"/>
        <c:tickLblPos val="nextTo"/>
        <c:spPr>
          <a:ln w="9431">
            <a:noFill/>
          </a:ln>
        </c:spPr>
        <c:crossAx val="160992640"/>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Jaringan kantor</c:v>
                </c:pt>
              </c:strCache>
            </c:strRef>
          </c:tx>
          <c:spPr>
            <a:solidFill>
              <a:srgbClr val="1F497D">
                <a:lumMod val="60000"/>
                <a:lumOff val="40000"/>
              </a:srgbClr>
            </a:solidFill>
            <a:ln>
              <a:solidFill>
                <a:srgbClr val="FF0000"/>
              </a:solidFill>
            </a:ln>
          </c:spPr>
          <c:invertIfNegative val="0"/>
          <c:dLbls>
            <c:dLblPos val="outEnd"/>
            <c:showLegendKey val="0"/>
            <c:showVal val="1"/>
            <c:showCatName val="0"/>
            <c:showSerName val="0"/>
            <c:showPercent val="0"/>
            <c:showBubbleSize val="0"/>
            <c:showLeaderLines val="0"/>
          </c:dLbls>
          <c:cat>
            <c:numRef>
              <c:f>Sheet1!$A$2:$A$12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Sheet1!$B$2:$B$12</c:f>
              <c:numCache>
                <c:formatCode>General</c:formatCode>
                <c:ptCount val="11"/>
                <c:pt idx="0">
                  <c:v>782</c:v>
                </c:pt>
                <c:pt idx="1">
                  <c:v>1024</c:v>
                </c:pt>
                <c:pt idx="2">
                  <c:v>1223</c:v>
                </c:pt>
                <c:pt idx="3">
                  <c:v>1763</c:v>
                </c:pt>
                <c:pt idx="4">
                  <c:v>2101</c:v>
                </c:pt>
                <c:pt idx="5">
                  <c:v>2663</c:v>
                </c:pt>
                <c:pt idx="6">
                  <c:v>2990</c:v>
                </c:pt>
                <c:pt idx="7">
                  <c:v>2910</c:v>
                </c:pt>
                <c:pt idx="8">
                  <c:v>2747</c:v>
                </c:pt>
                <c:pt idx="9">
                  <c:v>2654</c:v>
                </c:pt>
                <c:pt idx="10">
                  <c:v>2610</c:v>
                </c:pt>
              </c:numCache>
            </c:numRef>
          </c:val>
        </c:ser>
        <c:dLbls>
          <c:showLegendKey val="0"/>
          <c:showVal val="0"/>
          <c:showCatName val="0"/>
          <c:showSerName val="0"/>
          <c:showPercent val="0"/>
          <c:showBubbleSize val="0"/>
        </c:dLbls>
        <c:gapWidth val="75"/>
        <c:axId val="159403008"/>
        <c:axId val="159552256"/>
      </c:barChart>
      <c:catAx>
        <c:axId val="159403008"/>
        <c:scaling>
          <c:orientation val="minMax"/>
        </c:scaling>
        <c:delete val="0"/>
        <c:axPos val="b"/>
        <c:numFmt formatCode="General" sourceLinked="1"/>
        <c:majorTickMark val="none"/>
        <c:minorTickMark val="none"/>
        <c:tickLblPos val="nextTo"/>
        <c:crossAx val="159552256"/>
        <c:crosses val="autoZero"/>
        <c:auto val="1"/>
        <c:lblAlgn val="ctr"/>
        <c:lblOffset val="100"/>
        <c:noMultiLvlLbl val="0"/>
      </c:catAx>
      <c:valAx>
        <c:axId val="159552256"/>
        <c:scaling>
          <c:orientation val="minMax"/>
        </c:scaling>
        <c:delete val="0"/>
        <c:axPos val="l"/>
        <c:title>
          <c:tx>
            <c:rich>
              <a:bodyPr/>
              <a:lstStyle/>
              <a:p>
                <a:pPr>
                  <a:defRPr sz="940" b="0" i="0" u="none" strike="noStrike" baseline="0">
                    <a:solidFill>
                      <a:srgbClr val="000000"/>
                    </a:solidFill>
                    <a:latin typeface="Calibri"/>
                    <a:ea typeface="Calibri"/>
                    <a:cs typeface="Calibri"/>
                  </a:defRPr>
                </a:pPr>
                <a:r>
                  <a:rPr lang="id-ID"/>
                  <a:t>Tingkat Pertumbuhan</a:t>
                </a:r>
              </a:p>
            </c:rich>
          </c:tx>
          <c:layout>
            <c:manualLayout>
              <c:xMode val="edge"/>
              <c:yMode val="edge"/>
              <c:x val="7.8586578704688936E-2"/>
              <c:y val="0.15519372352824129"/>
            </c:manualLayout>
          </c:layout>
          <c:overlay val="0"/>
        </c:title>
        <c:numFmt formatCode="General" sourceLinked="1"/>
        <c:majorTickMark val="none"/>
        <c:minorTickMark val="none"/>
        <c:tickLblPos val="nextTo"/>
        <c:crossAx val="159403008"/>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id-ID" sz="1000" b="0" i="0" baseline="0">
                <a:effectLst/>
                <a:latin typeface="+mn-lt"/>
                <a:cs typeface="Times New Roman" pitchFamily="18" charset="0"/>
              </a:rPr>
              <a:t>Perkembangan dan Pertumbuhan Aset, DPK dan PYD </a:t>
            </a:r>
            <a:endParaRPr lang="id-ID" sz="1000">
              <a:effectLst/>
              <a:latin typeface="+mn-lt"/>
              <a:cs typeface="Times New Roman" pitchFamily="18" charset="0"/>
            </a:endParaRPr>
          </a:p>
          <a:p>
            <a:pPr>
              <a:defRPr/>
            </a:pPr>
            <a:r>
              <a:rPr lang="id-ID" sz="1000" b="0" i="0" baseline="0">
                <a:effectLst/>
                <a:latin typeface="+mn-lt"/>
                <a:cs typeface="Times New Roman" pitchFamily="18" charset="0"/>
              </a:rPr>
              <a:t>Tahun 2007 sampai 2017</a:t>
            </a:r>
            <a:endParaRPr lang="id-ID" sz="1000">
              <a:effectLst/>
              <a:latin typeface="+mn-lt"/>
              <a:cs typeface="Times New Roman" pitchFamily="18" charset="0"/>
            </a:endParaRPr>
          </a:p>
        </c:rich>
      </c:tx>
      <c:overlay val="0"/>
    </c:title>
    <c:autoTitleDeleted val="0"/>
    <c:plotArea>
      <c:layout/>
      <c:barChart>
        <c:barDir val="col"/>
        <c:grouping val="clustered"/>
        <c:varyColors val="0"/>
        <c:ser>
          <c:idx val="0"/>
          <c:order val="0"/>
          <c:tx>
            <c:strRef>
              <c:f>Sheet1!$B$1</c:f>
              <c:strCache>
                <c:ptCount val="1"/>
                <c:pt idx="0">
                  <c:v>Aset</c:v>
                </c:pt>
              </c:strCache>
            </c:strRef>
          </c:tx>
          <c:invertIfNegative val="0"/>
          <c:cat>
            <c:numRef>
              <c:f>Sheet1!$A$2:$A$12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Sheet1!$B$2:$B$12</c:f>
              <c:numCache>
                <c:formatCode>General</c:formatCode>
                <c:ptCount val="11"/>
                <c:pt idx="0">
                  <c:v>36538</c:v>
                </c:pt>
                <c:pt idx="1">
                  <c:v>49555</c:v>
                </c:pt>
                <c:pt idx="2">
                  <c:v>66090</c:v>
                </c:pt>
                <c:pt idx="3">
                  <c:v>97519</c:v>
                </c:pt>
                <c:pt idx="4">
                  <c:v>145467</c:v>
                </c:pt>
                <c:pt idx="5">
                  <c:v>195018</c:v>
                </c:pt>
                <c:pt idx="6">
                  <c:v>242276</c:v>
                </c:pt>
                <c:pt idx="7">
                  <c:v>272343</c:v>
                </c:pt>
                <c:pt idx="8">
                  <c:v>308989</c:v>
                </c:pt>
                <c:pt idx="9">
                  <c:v>372881</c:v>
                </c:pt>
                <c:pt idx="10">
                  <c:v>440304</c:v>
                </c:pt>
              </c:numCache>
            </c:numRef>
          </c:val>
        </c:ser>
        <c:ser>
          <c:idx val="1"/>
          <c:order val="1"/>
          <c:tx>
            <c:strRef>
              <c:f>Sheet1!$C$1</c:f>
              <c:strCache>
                <c:ptCount val="1"/>
                <c:pt idx="0">
                  <c:v>DPK</c:v>
                </c:pt>
              </c:strCache>
            </c:strRef>
          </c:tx>
          <c:invertIfNegative val="0"/>
          <c:cat>
            <c:numRef>
              <c:f>Sheet1!$A$2:$A$12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Sheet1!$C$2:$C$12</c:f>
              <c:numCache>
                <c:formatCode>General</c:formatCode>
                <c:ptCount val="11"/>
                <c:pt idx="0">
                  <c:v>28012</c:v>
                </c:pt>
                <c:pt idx="1">
                  <c:v>36852</c:v>
                </c:pt>
                <c:pt idx="2">
                  <c:v>52271</c:v>
                </c:pt>
                <c:pt idx="3">
                  <c:v>76036</c:v>
                </c:pt>
                <c:pt idx="4">
                  <c:v>115415</c:v>
                </c:pt>
                <c:pt idx="5">
                  <c:v>147512</c:v>
                </c:pt>
                <c:pt idx="6">
                  <c:v>183534</c:v>
                </c:pt>
                <c:pt idx="7">
                  <c:v>217858</c:v>
                </c:pt>
                <c:pt idx="8">
                  <c:v>231175</c:v>
                </c:pt>
                <c:pt idx="9">
                  <c:v>279335</c:v>
                </c:pt>
                <c:pt idx="10">
                  <c:v>334719</c:v>
                </c:pt>
              </c:numCache>
            </c:numRef>
          </c:val>
        </c:ser>
        <c:ser>
          <c:idx val="2"/>
          <c:order val="2"/>
          <c:tx>
            <c:strRef>
              <c:f>Sheet1!$D$1</c:f>
              <c:strCache>
                <c:ptCount val="1"/>
                <c:pt idx="0">
                  <c:v>PYD</c:v>
                </c:pt>
              </c:strCache>
            </c:strRef>
          </c:tx>
          <c:invertIfNegative val="0"/>
          <c:cat>
            <c:numRef>
              <c:f>Sheet1!$A$2:$A$12</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Sheet1!$D$2:$D$12</c:f>
              <c:numCache>
                <c:formatCode>General</c:formatCode>
                <c:ptCount val="11"/>
                <c:pt idx="0">
                  <c:v>27944</c:v>
                </c:pt>
                <c:pt idx="1">
                  <c:v>38199</c:v>
                </c:pt>
                <c:pt idx="2">
                  <c:v>46886</c:v>
                </c:pt>
                <c:pt idx="3">
                  <c:v>68181</c:v>
                </c:pt>
                <c:pt idx="4">
                  <c:v>102655</c:v>
                </c:pt>
                <c:pt idx="5">
                  <c:v>147505</c:v>
                </c:pt>
                <c:pt idx="6">
                  <c:v>184122</c:v>
                </c:pt>
                <c:pt idx="7">
                  <c:v>199330</c:v>
                </c:pt>
                <c:pt idx="8">
                  <c:v>229544</c:v>
                </c:pt>
                <c:pt idx="9">
                  <c:v>284256</c:v>
                </c:pt>
                <c:pt idx="10">
                  <c:v>359070</c:v>
                </c:pt>
              </c:numCache>
            </c:numRef>
          </c:val>
        </c:ser>
        <c:dLbls>
          <c:showLegendKey val="0"/>
          <c:showVal val="0"/>
          <c:showCatName val="0"/>
          <c:showSerName val="0"/>
          <c:showPercent val="0"/>
          <c:showBubbleSize val="0"/>
        </c:dLbls>
        <c:gapWidth val="150"/>
        <c:axId val="161201536"/>
        <c:axId val="161535104"/>
      </c:barChart>
      <c:catAx>
        <c:axId val="161201536"/>
        <c:scaling>
          <c:orientation val="minMax"/>
        </c:scaling>
        <c:delete val="0"/>
        <c:axPos val="b"/>
        <c:numFmt formatCode="General" sourceLinked="1"/>
        <c:majorTickMark val="none"/>
        <c:minorTickMark val="none"/>
        <c:tickLblPos val="nextTo"/>
        <c:crossAx val="161535104"/>
        <c:crosses val="autoZero"/>
        <c:auto val="1"/>
        <c:lblAlgn val="ctr"/>
        <c:lblOffset val="100"/>
        <c:noMultiLvlLbl val="0"/>
      </c:catAx>
      <c:valAx>
        <c:axId val="161535104"/>
        <c:scaling>
          <c:orientation val="minMax"/>
        </c:scaling>
        <c:delete val="0"/>
        <c:axPos val="l"/>
        <c:majorGridlines/>
        <c:title>
          <c:tx>
            <c:rich>
              <a:bodyPr/>
              <a:lstStyle/>
              <a:p>
                <a:pPr>
                  <a:defRPr sz="1003" b="0" i="0" u="none" strike="noStrike" baseline="0">
                    <a:solidFill>
                      <a:srgbClr val="000000"/>
                    </a:solidFill>
                    <a:latin typeface="Calibri"/>
                    <a:ea typeface="Calibri"/>
                    <a:cs typeface="Calibri"/>
                  </a:defRPr>
                </a:pPr>
                <a:r>
                  <a:rPr lang="id-ID"/>
                  <a:t>Perkembangan</a:t>
                </a:r>
              </a:p>
            </c:rich>
          </c:tx>
          <c:layout>
            <c:manualLayout>
              <c:xMode val="edge"/>
              <c:yMode val="edge"/>
              <c:x val="1.6183207474492308E-2"/>
              <c:y val="0.31685039370078738"/>
            </c:manualLayout>
          </c:layout>
          <c:overlay val="0"/>
        </c:title>
        <c:numFmt formatCode="General" sourceLinked="1"/>
        <c:majorTickMark val="none"/>
        <c:minorTickMark val="none"/>
        <c:tickLblPos val="nextTo"/>
        <c:crossAx val="161201536"/>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21A2B-9881-45EB-A8D3-5CF7E8248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5715</TotalTime>
  <Pages>16</Pages>
  <Words>12571</Words>
  <Characters>71656</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Yusuf Winandar</cp:lastModifiedBy>
  <cp:revision>169</cp:revision>
  <cp:lastPrinted>2017-07-25T01:44:00Z</cp:lastPrinted>
  <dcterms:created xsi:type="dcterms:W3CDTF">2017-01-06T01:53:00Z</dcterms:created>
  <dcterms:modified xsi:type="dcterms:W3CDTF">2018-07-13T10:09:00Z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f22c3805-8b3d-3563-ab43-bfb1dee43106</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